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KOBALTPAY ORCHESTRATION (KPO)</w:t>
      </w:r>
    </w:p>
    <w:p>
      <w:r>
        <w:rPr>
          <w:sz w:val="20"/>
        </w:rPr>
        <w:t>Краткая справка о компании и продуктах | Дата: 12 января 2026 | Версия: 1.0</w:t>
      </w:r>
    </w:p>
    <w:p/>
    <w:p>
      <w:pPr>
        <w:pStyle w:val="Heading1"/>
      </w:pPr>
      <w:r>
        <w:t>1. Профиль компании</w:t>
      </w:r>
    </w:p>
    <w:p>
      <w:r>
        <w:t>KobaltPay Orchestration - B2B-платформа для оркестрации платежей и сверки финансовых потоков для маркетплейсов и сервисных компаний. Платформа сокращает операционные издержки за счет единого API к эквайрингу/СБП/переводам и автоматизации сверки поступлений.</w:t>
      </w:r>
    </w:p>
    <w:p>
      <w:pPr>
        <w:pStyle w:val="Heading1"/>
      </w:pPr>
      <w:r>
        <w:t>2. Продуктовая линейка</w:t>
      </w:r>
    </w:p>
    <w:p>
      <w:r>
        <w:rPr>
          <w:b/>
        </w:rPr>
        <w:t>2.1 KobaltGate API</w:t>
      </w:r>
    </w:p>
    <w:p>
      <w:pPr>
        <w:pStyle w:val="ListBullet"/>
      </w:pPr>
      <w:r>
        <w:t>Единый API для приема платежей (карты, СБП) и выплат. Поддерживает идемпотентность запросов и webhooks по статусам транзакций.</w:t>
      </w:r>
    </w:p>
    <w:p>
      <w:pPr>
        <w:pStyle w:val="ListBullet"/>
      </w:pPr>
      <w:r>
        <w:t>SLA доступности: 99.95% в месяц (для тарифа Enterprise).</w:t>
      </w:r>
    </w:p>
    <w:p>
      <w:r>
        <w:rPr>
          <w:b/>
        </w:rPr>
        <w:t>2.2 ReconcileIQ</w:t>
      </w:r>
    </w:p>
    <w:p>
      <w:pPr>
        <w:pStyle w:val="ListBullet"/>
      </w:pPr>
      <w:r>
        <w:t>Модуль автоматической сверки: сопоставляет банковские выписки с заказами, отмечает расхождения и формирует задачи на разбор.</w:t>
      </w:r>
    </w:p>
    <w:p>
      <w:pPr>
        <w:pStyle w:val="ListBullet"/>
      </w:pPr>
      <w:r>
        <w:t>Экспорт проводок: CSV и выгрузка в 1С через обменный файл по регламенту.</w:t>
      </w:r>
    </w:p>
    <w:p>
      <w:r>
        <w:rPr>
          <w:b/>
        </w:rPr>
        <w:t>2.3 FraudShield Rules</w:t>
      </w:r>
    </w:p>
    <w:p>
      <w:pPr>
        <w:pStyle w:val="ListBullet"/>
      </w:pPr>
      <w:r>
        <w:t>Риск-движок на правилах: лимиты по BIN, частоте попыток, совпадениям устройств и географии.</w:t>
      </w:r>
    </w:p>
    <w:p>
      <w:pPr>
        <w:pStyle w:val="ListBullet"/>
      </w:pPr>
      <w:r>
        <w:t>Режим "мягкой блокировки": транзакция уходит в ручную проверку вместо отказа.</w:t>
      </w:r>
    </w:p>
    <w:p>
      <w:pPr>
        <w:pStyle w:val="Heading1"/>
      </w:pPr>
      <w:r>
        <w:t>3. Коммерческие параметры (вымышленные)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Показатель</w:t>
            </w:r>
          </w:p>
        </w:tc>
        <w:tc>
          <w:tcPr>
            <w:tcW w:type="dxa" w:w="3324"/>
          </w:tcPr>
          <w:p>
            <w:r>
              <w:t>Значение</w:t>
            </w:r>
          </w:p>
        </w:tc>
        <w:tc>
          <w:tcPr>
            <w:tcW w:type="dxa" w:w="3324"/>
          </w:tcPr>
          <w:p>
            <w:r>
              <w:t>Комментарий</w:t>
            </w:r>
          </w:p>
        </w:tc>
      </w:tr>
      <w:tr>
        <w:tc>
          <w:tcPr>
            <w:tcW w:type="dxa" w:w="3324"/>
          </w:tcPr>
          <w:p>
            <w:r>
              <w:t>Комиссия эквайринга (ориентир)</w:t>
            </w:r>
          </w:p>
        </w:tc>
        <w:tc>
          <w:tcPr>
            <w:tcW w:type="dxa" w:w="3324"/>
          </w:tcPr>
          <w:p>
            <w:r>
              <w:t>1.6% - 2.2%</w:t>
            </w:r>
          </w:p>
        </w:tc>
        <w:tc>
          <w:tcPr>
            <w:tcW w:type="dxa" w:w="3324"/>
          </w:tcPr>
          <w:p>
            <w:r>
              <w:t>Зависит от MCC и оборота</w:t>
            </w:r>
          </w:p>
        </w:tc>
      </w:tr>
      <w:tr>
        <w:tc>
          <w:tcPr>
            <w:tcW w:type="dxa" w:w="3324"/>
          </w:tcPr>
          <w:p>
            <w:r>
              <w:t>Срок зачисления</w:t>
            </w:r>
          </w:p>
        </w:tc>
        <w:tc>
          <w:tcPr>
            <w:tcW w:type="dxa" w:w="3324"/>
          </w:tcPr>
          <w:p>
            <w:r>
              <w:t>T+1</w:t>
            </w:r>
          </w:p>
        </w:tc>
        <w:tc>
          <w:tcPr>
            <w:tcW w:type="dxa" w:w="3324"/>
          </w:tcPr>
          <w:p>
            <w:r>
              <w:t>Стандартная схема расчетов</w:t>
            </w:r>
          </w:p>
        </w:tc>
      </w:tr>
      <w:tr>
        <w:tc>
          <w:tcPr>
            <w:tcW w:type="dxa" w:w="3324"/>
          </w:tcPr>
          <w:p>
            <w:r>
              <w:t>Хранение логов</w:t>
            </w:r>
          </w:p>
        </w:tc>
        <w:tc>
          <w:tcPr>
            <w:tcW w:type="dxa" w:w="3324"/>
          </w:tcPr>
          <w:p>
            <w:r>
              <w:t>24 месяца</w:t>
            </w:r>
          </w:p>
        </w:tc>
        <w:tc>
          <w:tcPr>
            <w:tcW w:type="dxa" w:w="3324"/>
          </w:tcPr>
          <w:p>
            <w:r>
              <w:t>Транзакции, webhooks, аудит действий</w:t>
            </w:r>
          </w:p>
        </w:tc>
      </w:tr>
      <w:tr>
        <w:tc>
          <w:tcPr>
            <w:tcW w:type="dxa" w:w="3324"/>
          </w:tcPr>
          <w:p>
            <w:r>
              <w:t>Поддержка</w:t>
            </w:r>
          </w:p>
        </w:tc>
        <w:tc>
          <w:tcPr>
            <w:tcW w:type="dxa" w:w="3324"/>
          </w:tcPr>
          <w:p>
            <w:r>
              <w:t>24/7 для Enterprise</w:t>
            </w:r>
          </w:p>
        </w:tc>
        <w:tc>
          <w:tcPr>
            <w:tcW w:type="dxa" w:w="3324"/>
          </w:tcPr>
          <w:p>
            <w:r>
              <w:t>Каналы: почта и чат</w:t>
            </w:r>
          </w:p>
        </w:tc>
      </w:tr>
    </w:tbl>
    <w:p/>
    <w:p>
      <w:pPr>
        <w:pStyle w:val="Heading1"/>
      </w:pPr>
      <w:r>
        <w:t>4. Контакты (вымышленные)</w:t>
      </w:r>
    </w:p>
    <w:p>
      <w:r>
        <w:t>Город: Москва</w:t>
      </w:r>
    </w:p>
    <w:p>
      <w:r>
        <w:t>Почта пресейла: biz@kobaltpay.example</w:t>
      </w:r>
    </w:p>
    <w:p>
      <w:r>
        <w:t>Техподдержка: noc@kobaltpay.example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