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base na documentação, no banco de dados e no contexto do "Data Challenge" da Farma Xperiun, apresento uma proposta estruturada para atender ao projeto. Esta proposta foca em transformar os dados brutos em uma solução de inteligência de negócio (BI) que responda às dores latentes do cliente.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Proposta de Atendimento ao Projeto: Farma Xperiun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Arquitetura e Modelagem de Dados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primeiro passo para atender ao projeto é a estruturação correta do ambiente de análise.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Modelo Estrela (Star Schema):</w:t>
      </w:r>
      <w:r w:rsidDel="00000000" w:rsidR="00000000" w:rsidRPr="00000000">
        <w:rPr>
          <w:rFonts w:ascii="Google Sans" w:cs="Google Sans" w:eastAsia="Google Sans" w:hAnsi="Google Sans"/>
          <w:color w:val="1f1f1f"/>
          <w:rtl w:val="0"/>
        </w:rPr>
        <w:t xml:space="preserve"> Conectar a tabela fato f_vendas às tabelas de dimensão (d_produto, d_calendario, d_fornecedor, d_turno) através de chaves primárias e estrangeiras.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Tratamento de Metas:</w:t>
      </w:r>
      <w:r w:rsidDel="00000000" w:rsidR="00000000" w:rsidRPr="00000000">
        <w:rPr>
          <w:rFonts w:ascii="Google Sans" w:cs="Google Sans" w:eastAsia="Google Sans" w:hAnsi="Google Sans"/>
          <w:color w:val="1f1f1f"/>
          <w:rtl w:val="0"/>
        </w:rPr>
        <w:t xml:space="preserve"> A tabela d_meta_mensal está em uma granularidade diferente (mês). Proponho criar uma chave composta YYYYMM (Ex: 201901) no Power Query em ambas as tabelas (d_calendario e d_meta_mensal) para permitir a comparação entre o Realizado vs. Meta.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Saneamento:</w:t>
      </w:r>
      <w:r w:rsidDel="00000000" w:rsidR="00000000" w:rsidRPr="00000000">
        <w:rPr>
          <w:rFonts w:ascii="Google Sans" w:cs="Google Sans" w:eastAsia="Google Sans" w:hAnsi="Google Sans"/>
          <w:color w:val="1f1f1f"/>
          <w:rtl w:val="0"/>
        </w:rPr>
        <w:t xml:space="preserve"> Tratar as quantidades fracionadas e garantir que os preços de venda em f_vendas prevaleçam sobre os preços de tabela para o cálculo da receita real.</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Etapa de Exploração e Diagnóstico (SQL)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da visualização, utilizaremos o banco de dados SQLite para extrair "Quick Wins" (vitórias rápidas):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Análise de Margem por Categoria:</w:t>
      </w:r>
      <w:r w:rsidDel="00000000" w:rsidR="00000000" w:rsidRPr="00000000">
        <w:rPr>
          <w:rFonts w:ascii="Google Sans" w:cs="Google Sans" w:eastAsia="Google Sans" w:hAnsi="Google Sans"/>
          <w:color w:val="1f1f1f"/>
          <w:rtl w:val="0"/>
        </w:rPr>
        <w:t xml:space="preserve"> Identificar quais grupos terapêuticos possuem a maior margem de lucro (Lucro / Receita Líquida), validando se o volume de analgésicos compensa sua margem possivelmente menor.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Identificação de Ociosidade:</w:t>
      </w:r>
      <w:r w:rsidDel="00000000" w:rsidR="00000000" w:rsidRPr="00000000">
        <w:rPr>
          <w:rFonts w:ascii="Google Sans" w:cs="Google Sans" w:eastAsia="Google Sans" w:hAnsi="Google Sans"/>
          <w:color w:val="1f1f1f"/>
          <w:rtl w:val="0"/>
        </w:rPr>
        <w:t xml:space="preserve"> Analisar o volume de vendas por hora/turno para sugerir ajustes na escala de funcionários.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Auditoria de Descontos:</w:t>
      </w:r>
      <w:r w:rsidDel="00000000" w:rsidR="00000000" w:rsidRPr="00000000">
        <w:rPr>
          <w:rFonts w:ascii="Google Sans" w:cs="Google Sans" w:eastAsia="Google Sans" w:hAnsi="Google Sans"/>
          <w:color w:val="1f1f1f"/>
          <w:rtl w:val="0"/>
        </w:rPr>
        <w:t xml:space="preserve"> Medir o impacto do desconto médio por forma de pagamento (especialmente no Convênio vs. PIX).</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Desenvolvimento de Inteligência (DAX/Power BI)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solução será centrada em três pilares de visualização: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Dashboard Executivo (Foco no Dono):</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KPIs principais:</w:t>
      </w:r>
      <w:r w:rsidDel="00000000" w:rsidR="00000000" w:rsidRPr="00000000">
        <w:rPr>
          <w:rFonts w:ascii="Google Sans" w:cs="Google Sans" w:eastAsia="Google Sans" w:hAnsi="Google Sans"/>
          <w:color w:val="1f1f1f"/>
          <w:rtl w:val="0"/>
        </w:rPr>
        <w:t xml:space="preserve"> Receita Bruta, Lucro Líquido, Margem % e Ticket Médio.</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Gráfico de Velocidade (Gauge):</w:t>
      </w:r>
      <w:r w:rsidDel="00000000" w:rsidR="00000000" w:rsidRPr="00000000">
        <w:rPr>
          <w:rFonts w:ascii="Google Sans" w:cs="Google Sans" w:eastAsia="Google Sans" w:hAnsi="Google Sans"/>
          <w:color w:val="1f1f1f"/>
          <w:rtl w:val="0"/>
        </w:rPr>
        <w:t xml:space="preserve"> Percentual de atingimento da meta mensal.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Análise Temporal:</w:t>
      </w:r>
      <w:r w:rsidDel="00000000" w:rsidR="00000000" w:rsidRPr="00000000">
        <w:rPr>
          <w:rFonts w:ascii="Google Sans" w:cs="Google Sans" w:eastAsia="Google Sans" w:hAnsi="Google Sans"/>
          <w:color w:val="1f1f1f"/>
          <w:rtl w:val="0"/>
        </w:rPr>
        <w:t xml:space="preserve"> Comparação de crescimento (Year-over-Year) para entender a evolução de 2014 a 2019.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Visão Comercial e Produtos: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Matriz BCG / Curva ABC:</w:t>
      </w:r>
      <w:r w:rsidDel="00000000" w:rsidR="00000000" w:rsidRPr="00000000">
        <w:rPr>
          <w:rFonts w:ascii="Google Sans" w:cs="Google Sans" w:eastAsia="Google Sans" w:hAnsi="Google Sans"/>
          <w:color w:val="1f1f1f"/>
          <w:rtl w:val="0"/>
        </w:rPr>
        <w:t xml:space="preserve"> Classificar os 33 produtos entre os que geram lucro (Estrelas) e os que apenas ocupam espaço (Abacaxis).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Sazonalidade:</w:t>
      </w:r>
      <w:r w:rsidDel="00000000" w:rsidR="00000000" w:rsidRPr="00000000">
        <w:rPr>
          <w:rFonts w:ascii="Google Sans" w:cs="Google Sans" w:eastAsia="Google Sans" w:hAnsi="Google Sans"/>
          <w:color w:val="1f1f1f"/>
          <w:rtl w:val="0"/>
        </w:rPr>
        <w:t xml:space="preserve"> Gráfico de linha temporal cruzando "Temperatura/Estação" (inferida pelo calendário) com categorias como "Sistema Respiratório".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Visão de Operação e Fluxo:</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por Turno:</w:t>
      </w:r>
      <w:r w:rsidDel="00000000" w:rsidR="00000000" w:rsidRPr="00000000">
        <w:rPr>
          <w:rFonts w:ascii="Google Sans" w:cs="Google Sans" w:eastAsia="Google Sans" w:hAnsi="Google Sans"/>
          <w:color w:val="1f1f1f"/>
          <w:rtl w:val="0"/>
        </w:rPr>
        <w:t xml:space="preserve"> Comparativo de Ticket Médio entre Manhã, Tarde e Noite.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Mix de Pagamento:</w:t>
      </w:r>
      <w:r w:rsidDel="00000000" w:rsidR="00000000" w:rsidRPr="00000000">
        <w:rPr>
          <w:rFonts w:ascii="Google Sans" w:cs="Google Sans" w:eastAsia="Google Sans" w:hAnsi="Google Sans"/>
          <w:color w:val="1f1f1f"/>
          <w:rtl w:val="0"/>
        </w:rPr>
        <w:t xml:space="preserve"> Dashboard mostrando a economia potencial ao migrar pagamentos de Cartão para PIX.</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"Storytelling" do Mistério de 2019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Conforme apontado no </w:t>
      </w:r>
      <w:r w:rsidDel="00000000" w:rsidR="00000000" w:rsidRPr="00000000">
        <w:rPr>
          <w:rFonts w:ascii="Google Sans" w:cs="Google Sans" w:eastAsia="Google Sans" w:hAnsi="Google Sans"/>
          <w:b w:val="1"/>
          <w:bCs w:val="1"/>
          <w:color w:val="1f1f1f"/>
          <w:rtl w:val="0"/>
        </w:rPr>
        <w:t xml:space="preserve">Datacast</w:t>
      </w:r>
      <w:r w:rsidDel="00000000" w:rsidR="00000000" w:rsidRPr="00000000">
        <w:rPr>
          <w:rFonts w:ascii="Google Sans" w:cs="Google Sans" w:eastAsia="Google Sans" w:hAnsi="Google Sans"/>
          <w:color w:val="1f1f1f"/>
          <w:rtl w:val="0"/>
        </w:rPr>
        <w:t xml:space="preserve">, o projeto deve abordar o fenômeno de Outubro/Novembro de 2019.</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Análise de Causa Raiz:</w:t>
      </w:r>
      <w:r w:rsidDel="00000000" w:rsidR="00000000" w:rsidRPr="00000000">
        <w:rPr>
          <w:rFonts w:ascii="Google Sans" w:cs="Google Sans" w:eastAsia="Google Sans" w:hAnsi="Google Sans"/>
          <w:color w:val="1f1f1f"/>
          <w:rtl w:val="0"/>
        </w:rPr>
        <w:t xml:space="preserve"> Investigar se a queda das metas para zero foi uma falha de sistema, um encerramento planejado das atividades ou uma mudança radical de gestão.</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Proposta:</w:t>
      </w:r>
      <w:r w:rsidDel="00000000" w:rsidR="00000000" w:rsidRPr="00000000">
        <w:rPr>
          <w:rFonts w:ascii="Google Sans" w:cs="Google Sans" w:eastAsia="Google Sans" w:hAnsi="Google Sans"/>
          <w:color w:val="1f1f1f"/>
          <w:rtl w:val="0"/>
        </w:rPr>
        <w:t xml:space="preserve"> Incluir uma página de "Diagnóstico Especial" no relatório detalhando o comportamento dos fornecedores (Eurofarma, EMS) nos últimos meses de operação para prever riscos de ruptura de estoque.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Pitch de Entrega e Contratação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garantir que o grupo seja contratado para a continuidade do projeto, a entrega final não será apenas técnica, mas sim uma </w:t>
      </w:r>
      <w:r w:rsidDel="00000000" w:rsidR="00000000" w:rsidRPr="00000000">
        <w:rPr>
          <w:rFonts w:ascii="Google Sans" w:cs="Google Sans" w:eastAsia="Google Sans" w:hAnsi="Google Sans"/>
          <w:b w:val="1"/>
          <w:bCs w:val="1"/>
          <w:color w:val="1f1f1f"/>
          <w:rtl w:val="0"/>
        </w:rPr>
        <w:t xml:space="preserve">Consultoria de Negócios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Plano de Ação:</w:t>
      </w:r>
      <w:r w:rsidDel="00000000" w:rsidR="00000000" w:rsidRPr="00000000">
        <w:rPr>
          <w:rFonts w:ascii="Google Sans" w:cs="Google Sans" w:eastAsia="Google Sans" w:hAnsi="Google Sans"/>
          <w:color w:val="1f1f1f"/>
          <w:rtl w:val="0"/>
        </w:rPr>
        <w:t xml:space="preserve"> "Reduzir descontos em 2% no grupo de Sistema Nervoso aumentará o lucro em X mil reais".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Recomendação de Turno:</w:t>
      </w:r>
      <w:r w:rsidDel="00000000" w:rsidR="00000000" w:rsidRPr="00000000">
        <w:rPr>
          <w:rFonts w:ascii="Google Sans" w:cs="Google Sans" w:eastAsia="Google Sans" w:hAnsi="Google Sans"/>
          <w:color w:val="1f1f1f"/>
          <w:rtl w:val="0"/>
        </w:rPr>
        <w:t xml:space="preserve"> "Redistribuir 1 atendente da Noite para a Manhã para reduzir o tempo de espera no horário de maior ticket".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Resumo das Ferramentas: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Banco de Dados:</w:t>
      </w:r>
      <w:r w:rsidDel="00000000" w:rsidR="00000000" w:rsidRPr="00000000">
        <w:rPr>
          <w:rFonts w:ascii="Google Sans" w:cs="Google Sans" w:eastAsia="Google Sans" w:hAnsi="Google Sans"/>
          <w:color w:val="1f1f1f"/>
          <w:rtl w:val="0"/>
        </w:rPr>
        <w:t xml:space="preserve"> SQLite para queries complexas de extração.</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Transformação:</w:t>
      </w:r>
      <w:r w:rsidDel="00000000" w:rsidR="00000000" w:rsidRPr="00000000">
        <w:rPr>
          <w:rFonts w:ascii="Google Sans" w:cs="Google Sans" w:eastAsia="Google Sans" w:hAnsi="Google Sans"/>
          <w:color w:val="1f1f1f"/>
          <w:rtl w:val="0"/>
        </w:rPr>
        <w:t xml:space="preserve"> Power Query (M) para limpeza e criação de chaves.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Cálculos:</w:t>
      </w:r>
      <w:r w:rsidDel="00000000" w:rsidR="00000000" w:rsidRPr="00000000">
        <w:rPr>
          <w:rFonts w:ascii="Google Sans" w:cs="Google Sans" w:eastAsia="Google Sans" w:hAnsi="Google Sans"/>
          <w:color w:val="1f1f1f"/>
          <w:rtl w:val="0"/>
        </w:rPr>
        <w:t xml:space="preserve"> DAX para medidas de inteligência temporal e metas.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Visualização:</w:t>
      </w:r>
      <w:r w:rsidDel="00000000" w:rsidR="00000000" w:rsidRPr="00000000">
        <w:rPr>
          <w:rFonts w:ascii="Google Sans" w:cs="Google Sans" w:eastAsia="Google Sans" w:hAnsi="Google Sans"/>
          <w:color w:val="1f1f1f"/>
          <w:rtl w:val="0"/>
        </w:rPr>
        <w:t xml:space="preserve"> Power BI com foco em design limpo e executivo.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abordagem atende a todos os requisitos do </w:t>
      </w:r>
      <w:r w:rsidDel="00000000" w:rsidR="00000000" w:rsidRPr="00000000">
        <w:rPr>
          <w:rFonts w:ascii="Google Sans" w:cs="Google Sans" w:eastAsia="Google Sans" w:hAnsi="Google Sans"/>
          <w:b w:val="1"/>
          <w:bCs w:val="1"/>
          <w:color w:val="1f1f1f"/>
          <w:rtl w:val="0"/>
        </w:rPr>
        <w:t xml:space="preserve">Data Challenge</w:t>
      </w:r>
      <w:r w:rsidDel="00000000" w:rsidR="00000000" w:rsidRPr="00000000">
        <w:rPr>
          <w:rFonts w:ascii="Google Sans" w:cs="Google Sans" w:eastAsia="Google Sans" w:hAnsi="Google Sans"/>
          <w:color w:val="1f1f1f"/>
          <w:rtl w:val="0"/>
        </w:rPr>
        <w:t xml:space="preserve">, transformando a "arqueologia de dados" em uma ferramenta viva de gestão para a Farma Xperiun.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