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documentação-de-acesso---api-altervision"/>
    <w:p>
      <w:pPr>
        <w:pStyle w:val="Heading1"/>
      </w:pPr>
      <w:r>
        <w:t xml:space="preserve">Documentação de Acesso - API AlterVision</w:t>
      </w:r>
    </w:p>
    <w:bookmarkStart w:id="20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t xml:space="preserve">A API AlterVision utiliza autenticação via</w:t>
      </w:r>
      <w:r>
        <w:t xml:space="preserve"> </w:t>
      </w:r>
      <w:r>
        <w:rPr>
          <w:b/>
          <w:bCs/>
        </w:rPr>
        <w:t xml:space="preserve">Bearer Token JWT</w:t>
      </w:r>
      <w:r>
        <w:t xml:space="preserve">.</w:t>
      </w:r>
    </w:p>
    <w:p>
      <w:pPr>
        <w:pStyle w:val="BodyText"/>
      </w:pPr>
      <w:r>
        <w:t xml:space="preserve">Para acessar os endpoints protegidos, o terceiro deve primeiro solicitar um token de acesso informando seu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clientSecret</w:t>
      </w:r>
      <w:r>
        <w:t xml:space="preserve">.</w:t>
      </w:r>
    </w:p>
    <w:p>
      <w:pPr>
        <w:pStyle w:val="BodyText"/>
      </w:pPr>
      <w:r>
        <w:t xml:space="preserve">Após receber o token, o terceiro deve enviar esse token no 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em todas as próximas requisições.</w:t>
      </w:r>
    </w:p>
    <w:p>
      <w:r>
        <w:pict>
          <v:rect style="width:0;height:1.5pt" o:hralign="center" o:hrstd="t" o:hr="t"/>
        </w:pict>
      </w:r>
    </w:p>
    <w:bookmarkEnd w:id="20"/>
    <w:bookmarkStart w:id="21" w:name="credenciais-de-acesso"/>
    <w:p>
      <w:pPr>
        <w:pStyle w:val="Heading2"/>
      </w:pPr>
      <w:r>
        <w:t xml:space="preserve">2. Credenciais de acesso</w:t>
      </w:r>
    </w:p>
    <w:p>
      <w:pPr>
        <w:pStyle w:val="FirstParagraph"/>
      </w:pPr>
      <w:r>
        <w:t xml:space="preserve">Cada terceiro receberá as seguintes credenciais: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"sellbie"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"Sellbie@2026"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clientSecret</w:t>
      </w:r>
      <w:r>
        <w:t xml:space="preserve"> </w:t>
      </w:r>
      <w:r>
        <w:t xml:space="preserve">é uma chave privada e deve ser armazenado com segurança pelo terceiro.</w:t>
      </w:r>
    </w:p>
    <w:p>
      <w:pPr>
        <w:pStyle w:val="BodyText"/>
      </w:pPr>
      <w:r>
        <w:t xml:space="preserve">A AlterVision não armazena o</w:t>
      </w:r>
      <w:r>
        <w:t xml:space="preserve"> </w:t>
      </w:r>
      <w:r>
        <w:rPr>
          <w:rStyle w:val="VerbatimChar"/>
        </w:rPr>
        <w:t xml:space="preserve">clientSecret</w:t>
      </w:r>
      <w:r>
        <w:t xml:space="preserve"> </w:t>
      </w:r>
      <w:r>
        <w:t xml:space="preserve">original, apenas o hash criptografado para validação.</w:t>
      </w:r>
    </w:p>
    <w:p>
      <w:r>
        <w:pict>
          <v:rect style="width:0;height:1.5pt" o:hralign="center" o:hrstd="t" o:hr="t"/>
        </w:pict>
      </w:r>
    </w:p>
    <w:bookmarkEnd w:id="21"/>
    <w:bookmarkStart w:id="27" w:name="geração-do-token"/>
    <w:p>
      <w:pPr>
        <w:pStyle w:val="Heading2"/>
      </w:pPr>
      <w:r>
        <w:t xml:space="preserve">3. Geração do token</w:t>
      </w:r>
    </w:p>
    <w:bookmarkStart w:id="22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/api/Auth/token</w:t>
      </w:r>
    </w:p>
    <w:bookmarkEnd w:id="22"/>
    <w:bookmarkStart w:id="23" w:name="exemplo-de-url"/>
    <w:p>
      <w:pPr>
        <w:pStyle w:val="Heading3"/>
      </w:pPr>
      <w:r>
        <w:t xml:space="preserve">Exemplo de URL</w:t>
      </w:r>
    </w:p>
    <w:p>
      <w:pPr>
        <w:pStyle w:val="SourceCode"/>
      </w:pPr>
      <w:r>
        <w:rPr>
          <w:rStyle w:val="VerbatimChar"/>
        </w:rPr>
        <w:t xml:space="preserve">https://seudominio.com.br/api/Auth/token</w:t>
      </w:r>
    </w:p>
    <w:bookmarkEnd w:id="23"/>
    <w:bookmarkStart w:id="24" w:name="body-da-requisição"/>
    <w:p>
      <w:pPr>
        <w:pStyle w:val="Heading3"/>
      </w:pPr>
      <w:r>
        <w:t xml:space="preserve">Body da requisição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"sellbie"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"Sellbie@2026"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exemplo-de-resposta-com-sucesso"/>
    <w:p>
      <w:pPr>
        <w:pStyle w:val="Heading3"/>
      </w:pPr>
      <w:r>
        <w:t xml:space="preserve">Exemplo de resposta com sucesso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"2026-06-11T21:19:56Z"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campos-da-resposta"/>
    <w:p>
      <w:pPr>
        <w:pStyle w:val="Heading3"/>
      </w:pPr>
      <w:r>
        <w:t xml:space="preserve">Campos da resposta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accessToken</w:t>
            </w:r>
          </w:p>
        </w:tc>
        <w:tc>
          <w:tcPr/>
          <w:p>
            <w:pPr>
              <w:pStyle w:val="Compact"/>
            </w:pPr>
            <w:r>
              <w:t xml:space="preserve">Token JWT que deverá ser usado nos endpoints protegidos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tokenType</w:t>
            </w:r>
          </w:p>
        </w:tc>
        <w:tc>
          <w:tcPr/>
          <w:p>
            <w:pPr>
              <w:pStyle w:val="Compact"/>
            </w:pPr>
            <w:r>
              <w:t xml:space="preserve">Tipo do token. Sempre será</w:t>
            </w:r>
            <w:r>
              <w:t xml:space="preserve"> </w:t>
            </w:r>
            <w:r>
              <w:rPr>
                <w:rStyle w:val="VerbatimChar"/>
              </w:rP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expiresIn</w:t>
            </w:r>
          </w:p>
        </w:tc>
        <w:tc>
          <w:tcPr/>
          <w:p>
            <w:pPr>
              <w:pStyle w:val="Compact"/>
            </w:pPr>
            <w:r>
              <w:t xml:space="preserve">Tempo de validade do token em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expiresAt</w:t>
            </w:r>
          </w:p>
        </w:tc>
        <w:tc>
          <w:tcPr/>
          <w:p>
            <w:pPr>
              <w:pStyle w:val="Compact"/>
            </w:pPr>
            <w:r>
              <w:t xml:space="preserve">Data e hora de expiração do token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como-usar-o-token"/>
    <w:p>
      <w:pPr>
        <w:pStyle w:val="Heading2"/>
      </w:pPr>
      <w:r>
        <w:t xml:space="preserve">4. Como usar o token</w:t>
      </w:r>
    </w:p>
    <w:p>
      <w:pPr>
        <w:pStyle w:val="FirstParagraph"/>
      </w:pPr>
      <w:r>
        <w:t xml:space="preserve">Após gerar o token, o terceiro deve enviar o token no 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.</w:t>
      </w:r>
    </w:p>
    <w:bookmarkStart w:id="28" w:name="formato-do-header"/>
    <w:p>
      <w:pPr>
        <w:pStyle w:val="Heading3"/>
      </w:pPr>
      <w:r>
        <w:t xml:space="preserve">Formato do header</w:t>
      </w:r>
    </w:p>
    <w:p>
      <w:pPr>
        <w:pStyle w:val="SourceCode"/>
      </w:pPr>
      <w:r>
        <w:rPr>
          <w:rStyle w:val="VerbatimChar"/>
        </w:rPr>
        <w:t xml:space="preserve">Authorization: Bearer SEU_TOKEN</w:t>
      </w:r>
    </w:p>
    <w:bookmarkEnd w:id="28"/>
    <w:bookmarkStart w:id="29" w:name="exemplo"/>
    <w:p>
      <w:pPr>
        <w:pStyle w:val="Heading3"/>
      </w:pPr>
      <w:r>
        <w:t xml:space="preserve">Exemplo</w:t>
      </w:r>
    </w:p>
    <w:p>
      <w:pPr>
        <w:pStyle w:val="SourceCode"/>
      </w:pPr>
      <w:r>
        <w:rPr>
          <w:rStyle w:val="VerbatimChar"/>
        </w:rPr>
        <w:t xml:space="preserve">Authorization: Bearer eyJhbGciOiJIUzI1NiIsInR5cCI6...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exemplo-de-chamada-a-endpoint-protegido"/>
    <w:p>
      <w:pPr>
        <w:pStyle w:val="Heading2"/>
      </w:pPr>
      <w:r>
        <w:t xml:space="preserve">5. Exemplo de chamada a endpoint protegido</w:t>
      </w:r>
    </w:p>
    <w:bookmarkStart w:id="31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/api/Health</w:t>
      </w:r>
    </w:p>
    <w:bookmarkEnd w:id="31"/>
    <w:bookmarkStart w:id="32" w:name="exemplo-com-curl"/>
    <w:p>
      <w:pPr>
        <w:pStyle w:val="Heading3"/>
      </w:pPr>
      <w:r>
        <w:t xml:space="preserve">Exemplo com cURL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"https://seudominio.com.br/api/Health"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SEU_TOKEN"</w:t>
      </w:r>
    </w:p>
    <w:bookmarkEnd w:id="32"/>
    <w:bookmarkStart w:id="33" w:name="resposta-esperada"/>
    <w:p>
      <w:pPr>
        <w:pStyle w:val="Heading3"/>
      </w:pPr>
      <w:r>
        <w:t xml:space="preserve">Resposta esperada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"sistema"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"AlterVision.Api"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AlterVision em execução"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"dataHora"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"2026-06-12T09:30:00"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erros-comuns"/>
    <w:p>
      <w:pPr>
        <w:pStyle w:val="Heading2"/>
      </w:pPr>
      <w:r>
        <w:t xml:space="preserve">6. Erros comuns</w:t>
      </w:r>
    </w:p>
    <w:bookmarkStart w:id="35" w:name="unauthorized"/>
    <w:p>
      <w:pPr>
        <w:pStyle w:val="Heading3"/>
      </w:pPr>
      <w:r>
        <w:t xml:space="preserve">401 Unauthorized</w:t>
      </w:r>
    </w:p>
    <w:p>
      <w:pPr>
        <w:pStyle w:val="FirstParagraph"/>
      </w:pPr>
      <w:r>
        <w:t xml:space="preserve">Ocorre quando:</w:t>
      </w:r>
    </w:p>
    <w:p>
      <w:pPr>
        <w:pStyle w:val="Compact"/>
        <w:numPr>
          <w:ilvl w:val="0"/>
          <w:numId w:val="1001"/>
        </w:numPr>
      </w:pPr>
      <w:r>
        <w:t xml:space="preserve">O token não foi enviado.</w:t>
      </w:r>
    </w:p>
    <w:p>
      <w:pPr>
        <w:pStyle w:val="Compact"/>
        <w:numPr>
          <w:ilvl w:val="0"/>
          <w:numId w:val="1001"/>
        </w:numPr>
      </w:pPr>
      <w:r>
        <w:t xml:space="preserve">O token está expirado.</w:t>
      </w:r>
    </w:p>
    <w:p>
      <w:pPr>
        <w:pStyle w:val="Compact"/>
        <w:numPr>
          <w:ilvl w:val="0"/>
          <w:numId w:val="1001"/>
        </w:numPr>
      </w:pPr>
      <w:r>
        <w:t xml:space="preserve">O token é inválido.</w:t>
      </w:r>
    </w:p>
    <w:p>
      <w:pPr>
        <w:pStyle w:val="Compact"/>
        <w:numPr>
          <w:ilvl w:val="0"/>
          <w:numId w:val="1001"/>
        </w:numPr>
      </w:pPr>
      <w:r>
        <w:t xml:space="preserve">O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clientSecret</w:t>
      </w:r>
      <w:r>
        <w:t xml:space="preserve"> </w:t>
      </w:r>
      <w:r>
        <w:t xml:space="preserve">informado está incorreto.</w:t>
      </w:r>
    </w:p>
    <w:p>
      <w:pPr>
        <w:pStyle w:val="Compact"/>
        <w:numPr>
          <w:ilvl w:val="0"/>
          <w:numId w:val="1001"/>
        </w:numPr>
      </w:pPr>
      <w:r>
        <w:t xml:space="preserve">O terceiro está inativo.</w:t>
      </w:r>
    </w:p>
    <w:p>
      <w:pPr>
        <w:pStyle w:val="FirstParagraph"/>
      </w:pPr>
      <w:r>
        <w:t xml:space="preserve">Exemplo de retorno ao tentar gerar token com credenciais inválidas: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"ClientId ou ClientSecret inválido."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novação-do-token"/>
    <w:p>
      <w:pPr>
        <w:pStyle w:val="Heading2"/>
      </w:pPr>
      <w:r>
        <w:t xml:space="preserve">7. Renovação do token</w:t>
      </w:r>
    </w:p>
    <w:p>
      <w:pPr>
        <w:pStyle w:val="FirstParagraph"/>
      </w:pPr>
      <w:r>
        <w:t xml:space="preserve">O token possui validade limitada.</w:t>
      </w:r>
    </w:p>
    <w:p>
      <w:pPr>
        <w:pStyle w:val="BodyText"/>
      </w:pPr>
      <w:r>
        <w:t xml:space="preserve">Quando o token expirar, o terceiro deve solicitar um novo token chamando novamente:</w:t>
      </w:r>
    </w:p>
    <w:p>
      <w:pPr>
        <w:pStyle w:val="SourceCode"/>
      </w:pPr>
      <w:r>
        <w:rPr>
          <w:rStyle w:val="VerbatimChar"/>
        </w:rPr>
        <w:t xml:space="preserve">POST /api/Auth/token</w:t>
      </w:r>
    </w:p>
    <w:p>
      <w:pPr>
        <w:pStyle w:val="FirstParagraph"/>
      </w:pPr>
      <w:r>
        <w:t xml:space="preserve">com seu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clientSecret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fluxo-resumido"/>
    <w:p>
      <w:pPr>
        <w:pStyle w:val="Heading2"/>
      </w:pPr>
      <w:r>
        <w:t xml:space="preserve">8. Fluxo resumido</w:t>
      </w:r>
    </w:p>
    <w:p>
      <w:pPr>
        <w:pStyle w:val="SourceCode"/>
      </w:pPr>
      <w:r>
        <w:rPr>
          <w:rStyle w:val="VerbatimChar"/>
        </w:rPr>
        <w:t xml:space="preserve">1. Terceiro recebe clientId e clientSecret</w:t>
      </w:r>
      <w:r>
        <w:br/>
      </w:r>
      <w:r>
        <w:rPr>
          <w:rStyle w:val="VerbatimChar"/>
        </w:rPr>
        <w:t xml:space="preserve">2. Terceiro chama POST /api/Auth/token</w:t>
      </w:r>
      <w:r>
        <w:br/>
      </w:r>
      <w:r>
        <w:rPr>
          <w:rStyle w:val="VerbatimChar"/>
        </w:rPr>
        <w:t xml:space="preserve">3. API retorna accessToken</w:t>
      </w:r>
      <w:r>
        <w:br/>
      </w:r>
      <w:r>
        <w:rPr>
          <w:rStyle w:val="VerbatimChar"/>
        </w:rPr>
        <w:t xml:space="preserve">4. Terceiro usa o accessToken no header Authorization</w:t>
      </w:r>
      <w:r>
        <w:br/>
      </w:r>
      <w:r>
        <w:rPr>
          <w:rStyle w:val="VerbatimChar"/>
        </w:rPr>
        <w:t xml:space="preserve">5. Endpoints protegidos validam o token</w:t>
      </w:r>
      <w:r>
        <w:br/>
      </w:r>
      <w:r>
        <w:rPr>
          <w:rStyle w:val="VerbatimChar"/>
        </w:rPr>
        <w:t xml:space="preserve">6. Quando o token expirar, o terceiro gera um novo token</w:t>
      </w:r>
    </w:p>
    <w:p>
      <w:r>
        <w:pict>
          <v:rect style="width:0;height:1.5pt" o:hralign="center" o:hrstd="t" o:hr="t"/>
        </w:pict>
      </w:r>
    </w:p>
    <w:bookmarkEnd w:id="38"/>
    <w:bookmarkStart w:id="39" w:name="observações-de-segurança"/>
    <w:p>
      <w:pPr>
        <w:pStyle w:val="Heading2"/>
      </w:pPr>
      <w:r>
        <w:t xml:space="preserve">9. Observações de segurança</w:t>
      </w:r>
    </w:p>
    <w:p>
      <w:pPr>
        <w:pStyle w:val="Compact"/>
        <w:numPr>
          <w:ilvl w:val="0"/>
          <w:numId w:val="1002"/>
        </w:numPr>
      </w:pPr>
      <w:r>
        <w:t xml:space="preserve">O</w:t>
      </w:r>
      <w:r>
        <w:t xml:space="preserve"> </w:t>
      </w:r>
      <w:r>
        <w:rPr>
          <w:rStyle w:val="VerbatimChar"/>
        </w:rPr>
        <w:t xml:space="preserve">clientSecret</w:t>
      </w:r>
      <w:r>
        <w:t xml:space="preserve"> </w:t>
      </w:r>
      <w:r>
        <w:t xml:space="preserve">não deve ser compartilhado publicamente.</w:t>
      </w:r>
    </w:p>
    <w:p>
      <w:pPr>
        <w:pStyle w:val="Compact"/>
        <w:numPr>
          <w:ilvl w:val="0"/>
          <w:numId w:val="1002"/>
        </w:numPr>
      </w:pPr>
      <w:r>
        <w:t xml:space="preserve">O token deve ser enviado apenas via HTTPS.</w:t>
      </w:r>
    </w:p>
    <w:p>
      <w:pPr>
        <w:pStyle w:val="Compact"/>
        <w:numPr>
          <w:ilvl w:val="0"/>
          <w:numId w:val="1002"/>
        </w:numPr>
      </w:pPr>
      <w:r>
        <w:t xml:space="preserve">O token deve ser armazenado de forma segura pelo terceiro.</w:t>
      </w:r>
    </w:p>
    <w:p>
      <w:pPr>
        <w:pStyle w:val="Compact"/>
        <w:numPr>
          <w:ilvl w:val="0"/>
          <w:numId w:val="1002"/>
        </w:numPr>
      </w:pPr>
      <w:r>
        <w:t xml:space="preserve">Caso o</w:t>
      </w:r>
      <w:r>
        <w:t xml:space="preserve"> </w:t>
      </w:r>
      <w:r>
        <w:rPr>
          <w:rStyle w:val="VerbatimChar"/>
        </w:rPr>
        <w:t xml:space="preserve">clientSecret</w:t>
      </w:r>
      <w:r>
        <w:t xml:space="preserve"> </w:t>
      </w:r>
      <w:r>
        <w:t xml:space="preserve">seja perdido ou comprometido, um novo deverá ser gerado.</w:t>
      </w:r>
    </w:p>
    <w:p>
      <w:pPr>
        <w:pStyle w:val="Compact"/>
        <w:numPr>
          <w:ilvl w:val="0"/>
          <w:numId w:val="1002"/>
        </w:numPr>
      </w:pPr>
      <w:r>
        <w:t xml:space="preserve">A AlterVision poderá desativar um terceiro alterando seu cadastro para inativo.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2026-06-12T14:19:43Z</dcterms:created>
  <dcterms:modified xsi:type="dcterms:W3CDTF">2026-06-12T14:19:43Z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