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B2A4A"/>
          <w:sz w:val="44"/>
          <w:szCs w:val="44"/>
        </w:rPr>
        <w:t xml:space="preserve">CareGrid</w:t>
      </w:r>
      <w:r>
        <w:rPr>
          <w:color w:val="C9D3D6"/>
          <w:sz w:val="44"/>
          <w:szCs w:val="44"/>
        </w:rPr>
        <w:t xml:space="preserve">  /  </w:t>
      </w:r>
      <w:r>
        <w:rPr>
          <w:b/>
          <w:bCs/>
          <w:color w:val="1F7A6C"/>
          <w:sz w:val="44"/>
          <w:szCs w:val="44"/>
        </w:rPr>
        <w:t xml:space="preserve">Relay</w:t>
      </w:r>
    </w:p>
    <w:p>
      <w:pPr>
        <w:spacing w:after="100"/>
      </w:pPr>
      <w:r>
        <w:rPr>
          <w:i/>
          <w:iCs/>
          <w:color w:val="8A94A3"/>
          <w:sz w:val="18"/>
          <w:szCs w:val="18"/>
        </w:rPr>
        <w:t xml:space="preserve">Handoff with Care.</w:t>
      </w:r>
    </w:p>
    <w:p>
      <w:pPr>
        <w:pBdr>
          <w:bottom w:val="single" w:color="C9D3D6" w:sz="6" w:space="1"/>
        </w:pBdr>
        <w:spacing w:after="120" w:before="120"/>
      </w:pPr>
    </w:p>
    <w:p>
      <w:pPr>
        <w:spacing w:after="40" w:before="60"/>
      </w:pPr>
      <w:r>
        <w:rPr>
          <w:b/>
          <w:bCs/>
          <w:color w:val="1F7A6C"/>
          <w:spacing w:val="20"/>
          <w:sz w:val="16"/>
          <w:szCs w:val="16"/>
        </w:rPr>
        <w:t xml:space="preserve">THE PROBLEM</w:t>
      </w:r>
    </w:p>
    <w:p>
      <w:pPr>
        <w:spacing w:after="120"/>
      </w:pPr>
      <w:r>
        <w:rPr>
          <w:i w:val="false"/>
          <w:iCs w:val="false"/>
          <w:color w:val="222222"/>
          <w:sz w:val="20"/>
          <w:szCs w:val="20"/>
        </w:rPr>
        <w:t xml:space="preserve">Shelters, healthcare providers, food assistance, transportation, employment services, and housing organizations are all doing good work individually. But when these systems don't communicate, the person who needs help becomes responsible for carrying their own information from one organization to the next — re-explaining their situation, re-proving eligibility, and re-starting the process at every stop.</w:t>
      </w:r>
    </w:p>
    <w:p>
      <w:pPr>
        <w:spacing w:after="40" w:before="60"/>
      </w:pPr>
      <w:r>
        <w:rPr>
          <w:b/>
          <w:bCs/>
          <w:color w:val="1F7A6C"/>
          <w:spacing w:val="20"/>
          <w:sz w:val="16"/>
          <w:szCs w:val="16"/>
        </w:rPr>
        <w:t xml:space="preserve">THE RELAY ANALOGY</w:t>
      </w:r>
    </w:p>
    <w:p>
      <w:pPr>
        <w:spacing w:after="120"/>
      </w:pPr>
      <w:r>
        <w:rPr>
          <w:i w:val="false"/>
          <w:iCs w:val="false"/>
          <w:color w:val="222222"/>
          <w:sz w:val="20"/>
          <w:szCs w:val="20"/>
        </w:rPr>
        <w:t xml:space="preserve">In a relay race, great individual runners aren't enough — the critical moment is the handoff. If the baton gets dropped between runners, the entire race breaks down. Homelessness services face the same risk: the “baton” is a person's service journey — their referral, required documentation, current status, next appointment, and next action.</w:t>
      </w:r>
    </w:p>
    <w:p>
      <w:pPr>
        <w:spacing w:after="80" w:before="200"/>
      </w:pPr>
      <w:r>
        <w:rPr>
          <w:b/>
          <w:bCs/>
          <w:color w:val="1B2A4A"/>
          <w:sz w:val="24"/>
          <w:szCs w:val="24"/>
        </w:rPr>
        <w:t xml:space="preserve">How Relay Fits Into CareGrid</w:t>
      </w:r>
    </w:p>
    <w:p>
      <w:pPr>
        <w:spacing w:after="160"/>
      </w:pPr>
      <w:r>
        <w:rPr>
          <w:i w:val="false"/>
          <w:iCs w:val="false"/>
          <w:color w:val="222222"/>
          <w:sz w:val="20"/>
          <w:szCs w:val="20"/>
        </w:rPr>
        <w:t xml:space="preserve">CareGrid is the network of resources. Relay manages the handoff between them — an orchestration layer between otherwise disconnected services. Instead of handing someone a list of five places to call, Relay helps maintain the state of their journey: where they are now, what's already been completed, what they need next, and who is responsible for the next step.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shd w:fill="EDF2F1" w:val="clear"/>
            <w:tcMar>
              <w:top w:type="dxa" w:w="120"/>
              <w:left w:type="dxa" w:w="120"/>
              <w:bottom w:type="dxa" w:w="120"/>
              <w:right w:type="dxa" w:w="120"/>
            </w:tcMar>
          </w:tcPr>
          <w:p>
            <w:pPr>
              <w:spacing w:after="40"/>
            </w:pPr>
            <w:r>
              <w:rPr>
                <w:b/>
                <w:bCs/>
                <w:color w:val="1B2A4A"/>
                <w:sz w:val="18"/>
                <w:szCs w:val="18"/>
              </w:rPr>
              <w:t xml:space="preserve">1. Referral</w:t>
            </w:r>
          </w:p>
          <w:p>
            <w:r>
              <w:rPr>
                <w:color w:val="333333"/>
                <w:sz w:val="16"/>
                <w:szCs w:val="16"/>
              </w:rPr>
              <w:t xml:space="preserve">One provider identifies the next appropriate service and initiates the handoff.</w:t>
            </w:r>
          </w:p>
        </w:tc>
        <w:tc>
          <w:tcPr>
            <w:tcW w:type="dxa" w:w="2700"/>
            <w:shd w:fill="FFFFFF" w:val="clear"/>
            <w:tcMar>
              <w:top w:type="dxa" w:w="120"/>
              <w:left w:type="dxa" w:w="120"/>
              <w:bottom w:type="dxa" w:w="120"/>
              <w:right w:type="dxa" w:w="120"/>
            </w:tcMar>
          </w:tcPr>
          <w:p>
            <w:pPr>
              <w:spacing w:after="40"/>
            </w:pPr>
            <w:r>
              <w:rPr>
                <w:b/>
                <w:bCs/>
                <w:color w:val="1B2A4A"/>
                <w:sz w:val="18"/>
                <w:szCs w:val="18"/>
              </w:rPr>
              <w:t xml:space="preserve">2. Confirmation</w:t>
            </w:r>
          </w:p>
          <w:p>
            <w:r>
              <w:rPr>
                <w:color w:val="333333"/>
                <w:sz w:val="16"/>
                <w:szCs w:val="16"/>
              </w:rPr>
              <w:t xml:space="preserve">Relay tracks whether the next provider received and accepted the referral.</w:t>
            </w:r>
          </w:p>
        </w:tc>
        <w:tc>
          <w:tcPr>
            <w:tcW w:type="dxa" w:w="2700"/>
            <w:shd w:fill="EDF2F1" w:val="clear"/>
            <w:tcMar>
              <w:top w:type="dxa" w:w="120"/>
              <w:left w:type="dxa" w:w="120"/>
              <w:bottom w:type="dxa" w:w="120"/>
              <w:right w:type="dxa" w:w="120"/>
            </w:tcMar>
          </w:tcPr>
          <w:p>
            <w:pPr>
              <w:spacing w:after="40"/>
            </w:pPr>
            <w:r>
              <w:rPr>
                <w:b/>
                <w:bCs/>
                <w:color w:val="1B2A4A"/>
                <w:sz w:val="18"/>
                <w:szCs w:val="18"/>
              </w:rPr>
              <w:t xml:space="preserve">3. Continuity</w:t>
            </w:r>
          </w:p>
          <w:p>
            <w:r>
              <w:rPr>
                <w:color w:val="333333"/>
                <w:sz w:val="16"/>
                <w:szCs w:val="16"/>
              </w:rPr>
              <w:t xml:space="preserve">Status, documentation, and appointment details travel with the person — not re-collected each time.</w:t>
            </w:r>
          </w:p>
        </w:tc>
        <w:tc>
          <w:tcPr>
            <w:tcW w:type="dxa" w:w="2700"/>
            <w:shd w:fill="FFFFFF" w:val="clear"/>
            <w:tcMar>
              <w:top w:type="dxa" w:w="120"/>
              <w:left w:type="dxa" w:w="120"/>
              <w:bottom w:type="dxa" w:w="120"/>
              <w:right w:type="dxa" w:w="120"/>
            </w:tcMar>
          </w:tcPr>
          <w:p>
            <w:pPr>
              <w:spacing w:after="40"/>
            </w:pPr>
            <w:r>
              <w:rPr>
                <w:b/>
                <w:bCs/>
                <w:color w:val="1B2A4A"/>
                <w:sz w:val="18"/>
                <w:szCs w:val="18"/>
              </w:rPr>
              <w:t xml:space="preserve">4. Follow-up</w:t>
            </w:r>
          </w:p>
          <w:p>
            <w:r>
              <w:rPr>
                <w:color w:val="333333"/>
                <w:sz w:val="16"/>
                <w:szCs w:val="16"/>
              </w:rPr>
              <w:t xml:space="preserve">A named party owns the next action, so nothing sits unresolved.</w:t>
            </w:r>
          </w:p>
        </w:tc>
      </w:tr>
    </w:tbl>
    <w:p>
      <w:pPr>
        <w:spacing w:after="80" w:before="200"/>
      </w:pPr>
      <w:r>
        <w:rPr>
          <w:b/>
          <w:bCs/>
          <w:color w:val="1B2A4A"/>
          <w:sz w:val="24"/>
          <w:szCs w:val="24"/>
        </w:rPr>
        <w:t xml:space="preserve">Making the Handoff Visible</w:t>
      </w:r>
    </w:p>
    <w:p>
      <w:pPr>
        <w:pStyle w:val="ListParagraph"/>
        <w:numPr>
          <w:ilvl w:val="0"/>
          <w:numId w:val="1"/>
        </w:numPr>
        <w:spacing w:after="60"/>
      </w:pPr>
      <w:r>
        <w:rPr>
          <w:color w:val="222222"/>
          <w:sz w:val="19"/>
          <w:szCs w:val="19"/>
        </w:rPr>
        <w:t xml:space="preserve">Did the next provider receive the referral?</w:t>
      </w:r>
    </w:p>
    <w:p>
      <w:pPr>
        <w:pStyle w:val="ListParagraph"/>
        <w:numPr>
          <w:ilvl w:val="0"/>
          <w:numId w:val="1"/>
        </w:numPr>
        <w:spacing w:after="60"/>
      </w:pPr>
      <w:r>
        <w:rPr>
          <w:color w:val="222222"/>
          <w:sz w:val="19"/>
          <w:szCs w:val="19"/>
        </w:rPr>
        <w:t xml:space="preserve">Was it accepted?</w:t>
      </w:r>
    </w:p>
    <w:p>
      <w:pPr>
        <w:pStyle w:val="ListParagraph"/>
        <w:numPr>
          <w:ilvl w:val="0"/>
          <w:numId w:val="1"/>
        </w:numPr>
        <w:spacing w:after="60"/>
      </w:pPr>
      <w:r>
        <w:rPr>
          <w:color w:val="222222"/>
          <w:sz w:val="19"/>
          <w:szCs w:val="19"/>
        </w:rPr>
        <w:t xml:space="preserve">Is there a scheduled appointment?</w:t>
      </w:r>
    </w:p>
    <w:p>
      <w:pPr>
        <w:pStyle w:val="ListParagraph"/>
        <w:numPr>
          <w:ilvl w:val="0"/>
          <w:numId w:val="1"/>
        </w:numPr>
        <w:spacing w:after="60"/>
      </w:pPr>
      <w:r>
        <w:rPr>
          <w:color w:val="222222"/>
          <w:sz w:val="19"/>
          <w:szCs w:val="19"/>
        </w:rPr>
        <w:t xml:space="preserve">Is something blocking the handoff?</w:t>
      </w:r>
    </w:p>
    <w:p>
      <w:pPr>
        <w:pStyle w:val="ListParagraph"/>
        <w:numPr>
          <w:ilvl w:val="0"/>
          <w:numId w:val="1"/>
        </w:numPr>
        <w:spacing w:after="60"/>
      </w:pPr>
      <w:r>
        <w:rPr>
          <w:color w:val="222222"/>
          <w:sz w:val="19"/>
          <w:szCs w:val="19"/>
        </w:rPr>
        <w:t xml:space="preserve">Did the person actually receive the service?</w:t>
      </w:r>
    </w:p>
    <w:p>
      <w:pPr>
        <w:spacing w:after="80" w:before="200"/>
      </w:pPr>
      <w:r>
        <w:rPr>
          <w:b/>
          <w:bCs/>
          <w:color w:val="1B2A4A"/>
          <w:sz w:val="24"/>
          <w:szCs w:val="24"/>
        </w:rPr>
        <w:t xml:space="preserve">Built-In Guardrails</w:t>
      </w:r>
    </w:p>
    <w:p>
      <w:pPr>
        <w:pStyle w:val="ListParagraph"/>
        <w:numPr>
          <w:ilvl w:val="0"/>
          <w:numId w:val="1"/>
        </w:numPr>
        <w:spacing w:after="60"/>
      </w:pPr>
      <w:r>
        <w:rPr>
          <w:color w:val="222222"/>
          <w:sz w:val="19"/>
          <w:szCs w:val="19"/>
        </w:rPr>
        <w:t xml:space="preserve">Centers dignity, safety, and agency — never a replacement for Coordinated Entry.</w:t>
      </w:r>
    </w:p>
    <w:p>
      <w:pPr>
        <w:pStyle w:val="ListParagraph"/>
        <w:numPr>
          <w:ilvl w:val="0"/>
          <w:numId w:val="1"/>
        </w:numPr>
        <w:spacing w:after="60"/>
      </w:pPr>
      <w:r>
        <w:rPr>
          <w:color w:val="222222"/>
          <w:sz w:val="19"/>
          <w:szCs w:val="19"/>
        </w:rPr>
        <w:t xml:space="preserve">No vulnerability scoring, ranking, or policing logic — ever.</w:t>
      </w:r>
    </w:p>
    <w:p>
      <w:pPr>
        <w:pStyle w:val="ListParagraph"/>
        <w:numPr>
          <w:ilvl w:val="0"/>
          <w:numId w:val="1"/>
        </w:numPr>
        <w:spacing w:after="60"/>
      </w:pPr>
      <w:r>
        <w:rPr>
          <w:color w:val="222222"/>
          <w:sz w:val="19"/>
          <w:szCs w:val="19"/>
        </w:rPr>
        <w:t xml:space="preserve">Shows source, freshness, and eligibility uncertainty rather than claiming live capacity.</w:t>
      </w:r>
    </w:p>
    <w:p>
      <w:pPr>
        <w:pStyle w:val="ListParagraph"/>
        <w:numPr>
          <w:ilvl w:val="0"/>
          <w:numId w:val="1"/>
        </w:numPr>
        <w:spacing w:after="60"/>
      </w:pPr>
      <w:r>
        <w:rPr>
          <w:color w:val="222222"/>
          <w:sz w:val="19"/>
          <w:szCs w:val="19"/>
        </w:rPr>
        <w:t xml:space="preserve">Produces a handoff summary with no sensitive personal data retained.</w:t>
      </w:r>
    </w:p>
    <w:p>
      <w:pPr>
        <w:pStyle w:val="ListParagraph"/>
        <w:numPr>
          <w:ilvl w:val="0"/>
          <w:numId w:val="1"/>
        </w:numPr>
        <w:spacing w:after="60"/>
      </w:pPr>
      <w:r>
        <w:rPr>
          <w:color w:val="222222"/>
          <w:sz w:val="19"/>
          <w:szCs w:val="19"/>
        </w:rPr>
        <w:t xml:space="preserve">Always supports human takeover — Relay coordinates the baton pass; people make the decisions.</w:t>
      </w:r>
    </w:p>
    <w:p>
      <w:pPr>
        <w:pBdr>
          <w:bottom w:val="single" w:color="C9D3D6" w:sz="6" w:space="1"/>
        </w:pBdr>
        <w:spacing w:after="120" w:before="120"/>
      </w:pPr>
    </w:p>
    <w:p>
      <w:pPr>
        <w:spacing w:before="80"/>
        <w:jc w:val="center"/>
      </w:pPr>
      <w:r>
        <w:rPr>
          <w:i/>
          <w:iCs/>
          <w:color w:val="44546A"/>
          <w:sz w:val="18"/>
          <w:szCs w:val="18"/>
        </w:rPr>
        <w:t xml:space="preserve">CareGrid: the network. Relay: the handoff.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2026-08-28T17:37:20.225Z</dcterms:created>
  <dcterms:modified xsi:type="dcterms:W3CDTF">2026-08-28T17:37:20.226Z</dcterms:modified>
</cp:coreProperties>
</file>

<file path=docProps/custom.xml><?xml version="1.0" encoding="utf-8"?>
<Properties xmlns="http://schemas.openxmlformats.org/officeDocument/2006/custom-properties" xmlns:vt="http://schemas.openxmlformats.org/officeDocument/2006/docPropsVTypes"/>
</file>