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Update — Data Engineering Workstream</w:t>
      </w:r>
    </w:p>
    <w:p>
      <w:pPr>
        <w:pStyle w:val="Heading1"/>
      </w:pPr>
      <w:r>
        <w:t>1. Problem Statement &amp; Scope Recap</w:t>
      </w:r>
    </w:p>
    <w:p>
      <w:r>
        <w:t>This update covers the Data Engineering workstream's Week 5 deliverable: standing up the data foundation the rest of the platform depends on. The marketplace has no logged Hirer–Provider interaction history yet — the same system-level cold start referenced by the Recommendation Algo workstream (Panda &amp; Ray, 2022) — so there is no base data to train, validate, or evaluate against. This round's scope was therefore to build a robust pipeline across four stages: extraction (sourcing real gig postings and professional profiles), preprocessing (structuring raw pages into schema-compliant records), validation (checking synthetic output for realism and diversity), and evaluation (zero-shot LLM relevance labelling checked against a hand-labelled ground-truth set) — producing a synthetic-but-realistic dataset the rest of the team can build and test against.</w:t>
      </w:r>
    </w:p>
    <w:p>
      <w:pPr>
        <w:pStyle w:val="Heading1"/>
      </w:pPr>
      <w:r>
        <w:t>2. Data Sourcing &amp; Extraction</w:t>
      </w:r>
    </w:p>
    <w:p>
      <w:pPr>
        <w:pStyle w:val="Heading2"/>
      </w:pPr>
      <w:r>
        <w:t>2.1 Web-scale mining with crawl4ai</w:t>
      </w:r>
    </w:p>
    <w:p>
      <w:pPr>
        <w:pStyle w:val="ListBullet"/>
      </w:pPr>
      <w:r>
        <w:rPr>
          <w:b/>
        </w:rPr>
        <w:t xml:space="preserve">Target — </w:t>
      </w:r>
      <w:r>
        <w:t>mine gig-relevant content at scale from consultancy and accounting firm websites (e.g. EY, PwC, Deloitte, BCG, Kroll and comparable firms) using crawl4ai (UncleCode, 2024), producing LLM-ready markdown files as the raw input layer for downstream structuring.</w:t>
      </w:r>
    </w:p>
    <w:p>
      <w:pPr>
        <w:pStyle w:val="ListBullet"/>
      </w:pPr>
      <w:r>
        <w:rPr>
          <w:b/>
        </w:rPr>
        <w:t xml:space="preserve">Progress this round — </w:t>
      </w:r>
      <w:r>
        <w:t>12,269 pages mined from 86 seed URLs. After LLM classification, 2,894 pages (23.6%) were identified as usable: 1,011 hirer (gig / case-study) pages, 1,856 provider (professional profile) pages and 27 uncertain. The remaining 9,375 pages (76.4%) were filtered out as off-topic.</w:t>
      </w:r>
    </w:p>
    <w:p>
      <w:pPr>
        <w:pStyle w:val="ListBullet"/>
      </w:pPr>
      <w:r>
        <w:rPr>
          <w:b/>
        </w:rPr>
        <w:t xml:space="preserve">Challenge — </w:t>
      </w:r>
      <w:r>
        <w:t>inconsistent page structure across different firm websites disrupted the originally planned extraction schema, since each site presents and labels roles differently. Some sites block crawlers entirely (e.g. McKinsey returned no pages).</w:t>
      </w:r>
    </w:p>
    <w:p>
      <w:pPr>
        <w:pStyle w:val="ListBullet"/>
      </w:pPr>
      <w:r>
        <w:rPr>
          <w:b/>
        </w:rPr>
        <w:t xml:space="preserve">Resolution — </w:t>
      </w:r>
      <w:r>
        <w:t>aligned the synthetic data schema to a fixed set of columns (title, description, additional notes), per Edison's direction, while keeping the extraction logic adaptable enough to absorb further site-structure changes without a schema rewrite.</w:t>
      </w:r>
    </w:p>
    <w:p>
      <w:pPr>
        <w:pStyle w:val="Heading2"/>
      </w:pPr>
      <w:r>
        <w:t>2.2 Structuring into schema-compliant records</w:t>
      </w:r>
    </w:p>
    <w:p>
      <w:r>
        <w:t>LLM prompting is used to convert raw markdown into schema-compliant records. The GreyGigz ML schemas are kept as JSON Schema files; the prompts are generated from them, and every model response is validated against the schema before being written downstream. A response that fails validation is retried, never written. The pipeline is complete and extraction is running over the 2,894 usable pages: 24 hirer records have been written so far, with provider extraction to follow. Each row also records which model produced it and how long it took.</w:t>
      </w:r>
    </w:p>
    <w:p>
      <w:pPr>
        <w:pStyle w:val="Heading1"/>
      </w:pPr>
      <w:r>
        <w:t>3. Synthetic Data Generation Pipeline</w:t>
      </w:r>
    </w:p>
    <w:p>
      <w:pPr>
        <w:pStyle w:val="Heading2"/>
      </w:pPr>
      <w:r>
        <w:t>3.1 Multi-model generation aligned to the GreyGigz schema</w:t>
      </w:r>
    </w:p>
    <w:p>
      <w:r>
        <w:t>Synthetic gig postings and provider showcases are generated with multiple LLMs hosted on NUS SoC's SOCLAAS service (ornith1.5:35b, llama3.1:8b, qwen3.8:27b, qwen3.6:35b and qwen3-vl:32b), in accordance with the schema supplied by GreyGigz (the project sponsor's platform). Each record is assigned to one model by a hash of its file name, so the assignment is reproducible and the corpus spreads evenly across models. Mixing models guards against the loss of diversity seen when synthetic data comes from a single model (Shumailov et al., 2024); drawing from multiple source models mitigates this collapse and reduces self-preference bias (Schaffelder &amp; Gatt, 2025).</w:t>
      </w:r>
    </w:p>
    <w:p>
      <w:pPr>
        <w:pStyle w:val="Heading2"/>
      </w:pPr>
      <w:r>
        <w:t>3.2 Data-refinement pass — realism over generic LLM output</w:t>
      </w:r>
    </w:p>
    <w:p>
      <w:pPr>
        <w:pStyle w:val="ListBullet"/>
      </w:pPr>
      <w:r>
        <w:rPr>
          <w:b/>
        </w:rPr>
        <w:t xml:space="preserve">Achievement — </w:t>
      </w:r>
      <w:r>
        <w:t>built and ran a data-refinement pipeline that extracts gig titles and descriptions from the mined pages and uses an LLM to refine them so each synthetic entry carries an identifiable problem and a specific, realistic solution, rather than generic filler text. Every matchable detail (role, tools, deliverables) must be backed by the source page, and the real firm is never named in the gig text. Provider pages are anonymised before extraction (names masked with spaCy; Honnibal et al., 2020, and gendered pronouns neutralised).</w:t>
      </w:r>
    </w:p>
    <w:p>
      <w:pPr>
        <w:pStyle w:val="ListBullet"/>
      </w:pPr>
      <w:r>
        <w:rPr>
          <w:b/>
        </w:rPr>
        <w:t xml:space="preserve">Challenge — </w:t>
      </w:r>
      <w:r>
        <w:t>the generated data's tone was too repetitive and unnatural in places (e.g. overuse of "we"), and it remains hard to judge whether LLM-refined entries are realistic and representative of genuine gig postings.</w:t>
      </w:r>
    </w:p>
    <w:p>
      <w:pPr>
        <w:pStyle w:val="ListBullet"/>
      </w:pPr>
      <w:r>
        <w:rPr>
          <w:b/>
        </w:rPr>
        <w:t xml:space="preserve">Plan to overcome — </w:t>
      </w:r>
      <w:r>
        <w:t>each record now gets a randomised style (length tier, title style, first-person voice) so outputs don't converge on one tone. Each gig is also reviewed against its source page by a second, different model; records it flags are rewritten once using the reviewer's reason (adapted from Marcus's review and repair scripts). So far 4 of 24 records (17%) were sent back and rewritten.</w:t>
      </w:r>
    </w:p>
    <w:p>
      <w:pPr>
        <w:pStyle w:val="Heading2"/>
      </w:pPr>
      <w:r>
        <w:t>3.3 Evaluation framework — diversity and de-duplication</w:t>
      </w:r>
    </w:p>
    <w:p>
      <w:r>
        <w:t>A dedicated evaluation framework checks the synthetic corpus for diversity and screens for systematic similarity across generated entries, so the dataset does not collapse into near-duplicate postings that would bias downstream labelling and retrieval evaluation. Per-record quality checks (credible title, minimum description length, no leaked names) and the style choices behind each record are logged to support this.</w:t>
      </w:r>
    </w:p>
    <w:p>
      <w:r>
        <w:t>Exploratory data analysis (EDA) is used to manually spot-check the generated corpus alongside this automated check.</w:t>
      </w:r>
    </w:p>
    <w:p>
      <w:pPr>
        <w:pStyle w:val="Heading1"/>
      </w:pPr>
      <w:r>
        <w:t>4. Research &amp; Methodology — Labelling Strategy</w:t>
      </w:r>
    </w:p>
    <w:p>
      <w:pPr>
        <w:pStyle w:val="Heading2"/>
      </w:pPr>
      <w:r>
        <w:t>4.1 Zero-shot LLM relevance labelling (Beyond Yes and No)</w:t>
      </w:r>
    </w:p>
    <w:p>
      <w:r>
        <w:t>Relevance labels between gigs and provider profiles will be produced by an LLM judge, following Zhuang et al. (2024). Each gig–provider pair is one prompt, with the gig as the query and the provider profile as the document. Instead of a binary yes/no answer, the model chooses among fine-grained relevance labels, and the score is the expected relevance computed from the likelihood the model assigns to each label (normalised to 0–1). We will experiment with and compare five approaches:</w:t>
      </w:r>
    </w:p>
    <w:p>
      <w:pPr>
        <w:pStyle w:val="ListBullet"/>
      </w:pPr>
      <w:r>
        <w:rPr>
          <w:b/>
        </w:rPr>
        <w:t xml:space="preserve">RG-2L: </w:t>
      </w:r>
      <w:r>
        <w:t>binary baseline — Not Relevant / Relevant.</w:t>
      </w:r>
    </w:p>
    <w:p>
      <w:pPr>
        <w:pStyle w:val="ListBullet"/>
      </w:pPr>
      <w:r>
        <w:rPr>
          <w:b/>
        </w:rPr>
        <w:t xml:space="preserve">RG-3L: </w:t>
      </w:r>
      <w:r>
        <w:t>Not Relevant / Somewhat Relevant / Highly Relevant.</w:t>
      </w:r>
    </w:p>
    <w:p>
      <w:pPr>
        <w:pStyle w:val="ListBullet"/>
      </w:pPr>
      <w:r>
        <w:rPr>
          <w:b/>
        </w:rPr>
        <w:t xml:space="preserve">RG-4L: </w:t>
      </w:r>
      <w:r>
        <w:t>adds Perfectly Relevant.</w:t>
      </w:r>
    </w:p>
    <w:p>
      <w:pPr>
        <w:pStyle w:val="ListBullet"/>
      </w:pPr>
      <w:r>
        <w:rPr>
          <w:b/>
        </w:rPr>
        <w:t xml:space="preserve">RG-S(0,4): </w:t>
      </w:r>
      <w:r>
        <w:t>a 0–4 rating scale.</w:t>
      </w:r>
    </w:p>
    <w:p>
      <w:pPr>
        <w:pStyle w:val="ListBullet"/>
      </w:pPr>
      <w:r>
        <w:rPr>
          <w:b/>
        </w:rPr>
        <w:t xml:space="preserve">RG-3L multi-model: </w:t>
      </w:r>
      <w:r>
        <w:t>our addition — RG-3L scored by every model in the pool and averaged, to test whether several judges beat one.</w:t>
      </w:r>
    </w:p>
    <w:p>
      <w:r>
        <w:t>This replaces the earlier plan of comparing a binary model with a hand-tuned weighted-sum score: the binary model becomes the RG-2L baseline, and the fine-grained labels take the place of the weighted sum.</w:t>
      </w:r>
    </w:p>
    <w:p>
      <w:pPr>
        <w:pStyle w:val="Heading2"/>
      </w:pPr>
      <w:r>
        <w:t>4.2 Pooling methodology for relevance labelling</w:t>
      </w:r>
    </w:p>
    <w:p>
      <w:r>
        <w:t>Scoring every gig–provider pair does not scale: 1,011 hirer pages × 1,883 provider pages is about 1.9 million pairs, or roughly 11.4 million LLM calls at 6 calls per pair. A top-K pooling methodology is therefore being researched and implemented, so both the LLM judge and human labellers only review the top-ranked candidates per query — a standard way to make relevance labelling tractable at this corpus size.</w:t>
      </w:r>
    </w:p>
    <w:p>
      <w:r>
        <w:t>This is being researched jointly by Ting Wei and Marcus, alongside a look into the SkillsFuture taxonomy gap — where the project's taxonomy needs to line up with (or diverge from) Singapore's SkillsFuture skills framework.</w:t>
      </w:r>
    </w:p>
    <w:p>
      <w:pPr>
        <w:pStyle w:val="Heading2"/>
      </w:pPr>
      <w:r>
        <w:t>4.3 Inter-rater reliability and ground truth construction</w:t>
      </w:r>
    </w:p>
    <w:p>
      <w:pPr>
        <w:pStyle w:val="ListBullet"/>
      </w:pPr>
      <w:r>
        <w:t>Inter-rater consistency checks are being run on labelled samples to ensure rubric reliability before the rubric is applied at scale.</w:t>
      </w:r>
    </w:p>
    <w:p>
      <w:pPr>
        <w:pStyle w:val="ListBullet"/>
      </w:pPr>
      <w:r>
        <w:t>A hand-labelled test set of approximately 925 gig/tag pairs is under construction as ground truth for evaluation, including evaluating how well the zero-shot LLM labels agree with human judgment.</w:t>
      </w:r>
    </w:p>
    <w:p>
      <w:pPr>
        <w:pStyle w:val="ListBullet"/>
      </w:pPr>
      <w:r>
        <w:t>A harness runner is being built to compute precision, recall, and top-3 accuracy per taxonomy tier (Industry / Function / Subject / Speciality) against this labelled set, benchmarked against the legacy tag-weighted score.</w:t>
      </w:r>
    </w:p>
    <w:p>
      <w:pPr>
        <w:pStyle w:val="Heading1"/>
      </w:pPr>
      <w:r>
        <w:t>5. Key Findings</w:t>
      </w:r>
    </w:p>
    <w:p>
      <w:pPr>
        <w:pStyle w:val="ListBullet"/>
      </w:pPr>
      <w:r>
        <w:rPr>
          <w:b/>
        </w:rPr>
        <w:t xml:space="preserve">Site heterogeneity is the main extraction risk — </w:t>
      </w:r>
      <w:r>
        <w:t>no single scraping schema survives contact with every consultancy/accounting site; a fixed downstream schema (title, description, additional notes) decouples extraction quirks from the rest of the pipeline.</w:t>
      </w:r>
    </w:p>
    <w:p>
      <w:pPr>
        <w:pStyle w:val="ListBullet"/>
      </w:pPr>
      <w:r>
        <w:rPr>
          <w:b/>
        </w:rPr>
        <w:t xml:space="preserve">Raw LLM refinement is not enough on its own — </w:t>
      </w:r>
      <w:r>
        <w:t>without deliberate variation and review, generated postings converge on repetitive phrasing, so realism has to be actively checked, not assumed; the second-model review sent back 17% of records so far.</w:t>
      </w:r>
    </w:p>
    <w:p>
      <w:pPr>
        <w:pStyle w:val="ListBullet"/>
      </w:pPr>
      <w:r>
        <w:rPr>
          <w:b/>
        </w:rPr>
        <w:t xml:space="preserve">Full pairwise labelling does not scale to this corpus size — </w:t>
      </w:r>
      <w:r>
        <w:t>about 1.9 million possible pairs make top-K pooling necessary, for the LLM judge as well as for manual labelling.</w:t>
      </w:r>
    </w:p>
    <w:p>
      <w:pPr>
        <w:pStyle w:val="ListBullet"/>
      </w:pPr>
      <w:r>
        <w:rPr>
          <w:b/>
        </w:rPr>
        <w:t xml:space="preserve">Extraction volume is on track, but yield is the number to watch — </w:t>
      </w:r>
      <w:r>
        <w:t>12,269 pages mined with a 23.6% usable-content ratio (2,894 pages), in line with the earlier ~25% estimate; hirer pages are the scarcer type (8.2%).</w:t>
      </w:r>
    </w:p>
    <w:p>
      <w:pPr>
        <w:pStyle w:val="Heading1"/>
      </w:pPr>
      <w:r>
        <w:t>6. Open Items &amp; Next Steps</w:t>
      </w:r>
    </w:p>
    <w:p>
      <w:pPr>
        <w:pStyle w:val="ListBullet"/>
      </w:pPr>
      <w:r>
        <w:t>Finish extraction over the 2,894 usable pages and hand off the finalised CSV dataset to the backend team by the end of the weekend.</w:t>
      </w:r>
    </w:p>
    <w:p>
      <w:pPr>
        <w:pStyle w:val="ListBullet"/>
      </w:pPr>
      <w:r>
        <w:t>Regenerate flagged synthetic-data batches (jointly, Ting Wei and Marcus) to fix formatting errors and reduce repetitive LLM phrasing.</w:t>
      </w:r>
    </w:p>
    <w:p>
      <w:pPr>
        <w:pStyle w:val="ListBullet"/>
      </w:pPr>
      <w:r>
        <w:t>Run a pilot of the five zero-shot LLM labelling approaches once provider records are available.</w:t>
      </w:r>
    </w:p>
    <w:p>
      <w:pPr>
        <w:pStyle w:val="ListBullet"/>
      </w:pPr>
      <w:r>
        <w:t>Complete the SkillsFuture taxonomy-gap research and the top-K pooling methodology, and apply both to the labelling rubric.</w:t>
      </w:r>
    </w:p>
    <w:p>
      <w:pPr>
        <w:pStyle w:val="ListBullet"/>
      </w:pPr>
      <w:r>
        <w:t>Finish the hand-labelled ~925-pair ground-truth set and the precision/recall/top-3-accuracy harness runner.</w:t>
      </w:r>
    </w:p>
    <w:p>
      <w:pPr>
        <w:pStyle w:val="ListBullet"/>
      </w:pPr>
      <w:r>
        <w:t>Close out the "in progress" labelling-rubric and inter-rater consistency checks.</w:t>
      </w:r>
    </w:p>
    <w:p>
      <w:pPr>
        <w:pStyle w:val="Heading1"/>
      </w:pPr>
      <w:r>
        <w:t>References</w:t>
      </w:r>
    </w:p>
    <w:p>
      <w:pPr>
        <w:ind w:left="480" w:hanging="480"/>
      </w:pPr>
      <w:r>
        <w:t>Honnibal, M., Montani, I., Van Landeghem, S., &amp; Boyd, A. (2020). spaCy: Industrial-strength natural language processing in Python [Computer software]. Zenodo. https://doi.org/10.5281/zenodo.1212303</w:t>
      </w:r>
    </w:p>
    <w:p>
      <w:pPr>
        <w:ind w:left="480" w:hanging="480"/>
      </w:pPr>
      <w:r>
        <w:t>Panda, D. K., &amp; Ray, S. (2022). Approaches and algorithms to mitigate cold start problems in recommender systems: A systematic literature review. Journal of Intelligent Information Systems, 59(2), 341–366. https://doi.org/10.1007/s10844-022-00698-5</w:t>
      </w:r>
    </w:p>
    <w:p>
      <w:pPr>
        <w:ind w:left="480" w:hanging="480"/>
      </w:pPr>
      <w:r>
        <w:t>Schaffelder, M., &amp; Gatt, A. (2025). Synthetic eggs in many baskets: The impact of synthetic data diversity on LLM fine-tuning (arXiv:2511.01490; accepted to Findings of the Association for Computational Linguistics: ACL 2026). arXiv. https://doi.org/10.48550/arXiv.2511.01490</w:t>
      </w:r>
    </w:p>
    <w:p>
      <w:pPr>
        <w:ind w:left="480" w:hanging="480"/>
      </w:pPr>
      <w:r>
        <w:t>Shumailov, I., Shumaylov, Z., Zhao, Y., Papernot, N., Anderson, R., &amp; Gal, Y. (2024). AI models collapse when trained on recursively generated data. Nature, 631(8022), 755–759. https://doi.org/10.1038/s41586-024-07566-y</w:t>
      </w:r>
    </w:p>
    <w:p>
      <w:pPr>
        <w:ind w:left="480" w:hanging="480"/>
      </w:pPr>
      <w:r>
        <w:t>UncleCode. (2024). Crawl4AI: Open-source LLM friendly web crawler &amp; scraper [Computer software]. GitHub. https://github.com/unclecode/crawl4ai</w:t>
      </w:r>
    </w:p>
    <w:p>
      <w:pPr>
        <w:ind w:left="480" w:hanging="480"/>
      </w:pPr>
      <w:r>
        <w:t>Zhuang, H., Qin, Z., Hui, K., Wu, J., Yan, L., Wang, X., &amp; Bendersky, M. (2024). Beyond yes and no: Improving zero-shot LLM rankers via scoring fine-grained relevance labels. In Proceedings of the 2024 Conference of the North American Chapter of the Association for Computational Linguistics: Human Language Technologies (Volume 2: Short Papers) (pp. 358–370). Association for Computational Linguistics. https://doi.org/10.18653/v1/2024.naacl-short.31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