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ALGORITHM THEORETICAL BASIS DOCUMENT (ATBD)</w:t>
      </w:r>
    </w:p>
    <w:p>
      <w:pPr>
        <w:pStyle w:val="Subtitle"/>
      </w:pPr>
      <w:r>
        <w:t xml:space="preserve">ATBD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50"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ATBD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pPr>
        <w:pStyle w:val="BodyText"/>
      </w:pPr>
      <w:p>
        <w:r>
          <w:br w:type="page"/>
        </w:r>
      </w:p>
      <w:r>
        <w:t xml:space="preserve"> </w:t>
      </w:r>
      <w:r>
        <w:t xml:space="preserve">#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pStyle w:val="yellow-box"/>
        <w:numPr>
          <w:ilvl w:val="0"/>
          <w:numId w:val="1003"/>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3"/>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3"/>
        </w:numPr>
      </w:pPr>
      <w:r>
        <w:rPr>
          <w:b/>
          <w:bCs/>
        </w:rPr>
        <w:t xml:space="preserve">Be clear and concise</w:t>
      </w:r>
      <w:r>
        <w:t xml:space="preserve">: Use straightforward language, aiming for sentences to be no longer than 20–25 words whenever possible. This executive summary should not exceed two pages.</w:t>
      </w:r>
    </w:p>
    <w:p>
      <w:pPr>
        <w:pStyle w:val="yellow-box"/>
        <w:numPr>
          <w:ilvl w:val="0"/>
          <w:numId w:val="1003"/>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3"/>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3"/>
        </w:numPr>
      </w:pPr>
      <w:r>
        <w:rPr>
          <w:b/>
          <w:bCs/>
        </w:rPr>
        <w:t xml:space="preserve">Minimize jargon</w:t>
      </w:r>
      <w:r>
        <w:t xml:space="preserve">: Use technical terms only when necessary, and ensure they are clearly explained, and avoid industry-specific jargon that might be unfamiliar to a broader audience.</w:t>
      </w:r>
    </w:p>
    <w:p>
      <w:pPr>
        <w:pStyle w:val="FirstParagraph"/>
      </w:pPr>
      <w:p>
        <w:r>
          <w:br w:type="page"/>
        </w:r>
      </w:p>
      <w:r>
        <w:t xml:space="preserve"> </w:t>
      </w:r>
      <w:r>
        <w:t xml:space="preserve">#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End w:id="25"/>
    <w:bookmarkStart w:id="26" w:name="X4520afda250d1168c1938af377c78b8baeb8ff0"/>
    <w:p>
      <w:pPr>
        <w:pStyle w:val="Heading2"/>
      </w:pPr>
      <w:r>
        <w:t xml:space="preserve">0.1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“PRODUCT SHORT NAME”</w:t>
      </w:r>
      <w:r>
        <w:t xml:space="preserve">.</w:t>
      </w:r>
    </w:p>
    <w:bookmarkEnd w:id="26"/>
    <w:bookmarkStart w:id="27" w:name="Xb27e350758a0dbeb63c26b1dc342ddb8e6f7726"/>
    <w:p>
      <w:pPr>
        <w:pStyle w:val="Heading2"/>
      </w:pPr>
      <w:r>
        <w:t xml:space="preserve">0.2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4"/>
        </w:numPr>
      </w:pPr>
      <w:r>
        <w:t xml:space="preserve">Chapter 1 provides the executive summary of the project along with a general information about European Union's Earth Observation Programme and Copernicus Land Monitoring Service (CLMS).</w:t>
      </w:r>
    </w:p>
    <w:p>
      <w:pPr>
        <w:pStyle w:val="grey-box"/>
        <w:numPr>
          <w:ilvl w:val="0"/>
          <w:numId w:val="1004"/>
        </w:numPr>
      </w:pPr>
      <w:r>
        <w:t xml:space="preserve">Chapter 2 outlines the scope, content and structure of this document.</w:t>
      </w:r>
    </w:p>
    <w:p>
      <w:pPr>
        <w:pStyle w:val="grey-box"/>
        <w:numPr>
          <w:ilvl w:val="0"/>
          <w:numId w:val="1004"/>
        </w:numPr>
      </w:pPr>
      <w:r>
        <w:t xml:space="preserve">Chapter 3 details the general thematic content and product descriptions with the methodology, workflows and internal quality control processes.</w:t>
      </w:r>
    </w:p>
    <w:p>
      <w:pPr>
        <w:pStyle w:val="grey-box"/>
        <w:numPr>
          <w:ilvl w:val="0"/>
          <w:numId w:val="1004"/>
        </w:numPr>
      </w:pPr>
      <w:r>
        <w:t xml:space="preserve">Chapter 4 discusses know issues of the current methodology and the product.</w:t>
      </w:r>
    </w:p>
    <w:p>
      <w:pPr>
        <w:pStyle w:val="grey-box"/>
        <w:numPr>
          <w:ilvl w:val="0"/>
          <w:numId w:val="1004"/>
        </w:numPr>
      </w:pPr>
      <w:r>
        <w:t xml:space="preserve">Chapter 5 presents the terms of use, citation guidelines, and technical support for the product.</w:t>
      </w:r>
    </w:p>
    <w:p>
      <w:pPr>
        <w:pStyle w:val="grey-box"/>
        <w:numPr>
          <w:ilvl w:val="0"/>
          <w:numId w:val="1004"/>
        </w:numPr>
      </w:pPr>
      <w:r>
        <w:t xml:space="preserve">Chapter 6 defines key terms used in the document.</w:t>
      </w:r>
    </w:p>
    <w:p>
      <w:pPr>
        <w:pStyle w:val="grey-box"/>
        <w:numPr>
          <w:ilvl w:val="0"/>
          <w:numId w:val="1004"/>
        </w:numPr>
      </w:pPr>
      <w:r>
        <w:t xml:space="preserve">and the Abbreviations &amp; Acronyms, References, Annex, and Appendices Chapters provide citations, supplementary information, and additional reference materials.</w:t>
      </w:r>
    </w:p>
    <w:p>
      <w:pPr>
        <w:pStyle w:val="FirstParagraph"/>
      </w:pPr>
      <w:p>
        <w:r>
          <w:br w:type="page"/>
        </w:r>
      </w:p>
      <w:r>
        <w:t xml:space="preserve"> </w:t>
      </w:r>
      <w:r>
        <w:t xml:space="preserve">#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product verification.</w:t>
      </w:r>
    </w:p>
    <w:p>
      <w:pPr>
        <w:pStyle w:val="yellow-box"/>
      </w:pPr>
      <w:r>
        <w:t xml:space="preserve">In the</w:t>
      </w:r>
      <w:r>
        <w:t xml:space="preserve"> </w:t>
      </w:r>
      <w:r>
        <w:t xml:space="preserve">“Methodology Description”</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 Title</w:t>
            </w:r>
          </w:p>
        </w:tc>
        <w:tc>
          <w:tcPr/>
          <w:p>
            <w:pPr>
              <w:pStyle w:val="Compact"/>
            </w:pPr>
            <w:r>
              <w:t xml:space="preserve">Description/Details</w:t>
            </w:r>
          </w:p>
        </w:tc>
      </w:tr>
      <w:tr>
        <w:tc>
          <w:tcPr/>
          <w:p>
            <w:pPr>
              <w:pStyle w:val="Compact"/>
            </w:pPr>
            <w:r>
              <w:t xml:space="preserve">Retrieval Methodology</w:t>
            </w:r>
          </w:p>
        </w:tc>
        <w:tc>
          <w:tcPr/>
          <w:p>
            <w:pPr>
              <w:pStyle w:val="Compact"/>
            </w:pPr>
            <w:r>
              <w:t xml:space="preserve">Example: Convolutional Neural Network (CNN), Time Series Analysis, Change Detection, etc.</w:t>
            </w:r>
          </w:p>
        </w:tc>
      </w:tr>
      <w:tr>
        <w:tc>
          <w:tcPr/>
          <w:p>
            <w:pPr>
              <w:pStyle w:val="Compact"/>
            </w:pPr>
            <w:r>
              <w:t xml:space="preserve">Input Data</w:t>
            </w:r>
          </w:p>
        </w:tc>
        <w:tc>
          <w:tcPr/>
          <w:p>
            <w:pPr>
              <w:pStyle w:val="Compact"/>
            </w:pPr>
            <w:r>
              <w:t xml:space="preserve">Example: Sentinel-2 (S2A, S2B), Level-2ª (processing baseline 05.11), retrieved via ESA Copernicus Open Access Hub</w:t>
            </w:r>
          </w:p>
        </w:tc>
      </w:tr>
      <w:tr>
        <w:tc>
          <w:tcPr/>
          <w:p>
            <w:pPr>
              <w:pStyle w:val="Compact"/>
            </w:pPr>
            <w:r>
              <w:t xml:space="preserve">Ancillary Data</w:t>
            </w:r>
          </w:p>
        </w:tc>
        <w:tc>
          <w:tcPr/>
          <w:p>
            <w:pPr>
              <w:pStyle w:val="Compact"/>
            </w:pPr>
            <w:r>
              <w:t xml:space="preserve">Example: OSM: Open Street Map roads, parking lots, runways and building footprints, CLC: CORINE Land Cover 2018 (1.2.2 Road and rail networks and associated land)</w:t>
            </w:r>
          </w:p>
        </w:tc>
      </w:tr>
      <w:tr>
        <w:tc>
          <w:tcPr/>
          <w:p>
            <w:pPr>
              <w:pStyle w:val="Compact"/>
            </w:pPr>
            <w:r>
              <w:t xml:space="preserve">Processing Workflow</w:t>
            </w:r>
          </w:p>
        </w:tc>
        <w:tc>
          <w:tcPr/>
          <w:p>
            <w:pPr>
              <w:pStyle w:val="Compact"/>
            </w:pPr>
            <w:r>
              <w:t xml:space="preserve">Example: Cloud masking, atmospheric correction, radiometric calibration, temporal compositing</w:t>
            </w:r>
          </w:p>
        </w:tc>
      </w:tr>
      <w:tr>
        <w:tc>
          <w:tcPr/>
          <w:p>
            <w:pPr>
              <w:pStyle w:val="Compact"/>
            </w:pPr>
            <w:r>
              <w:t xml:space="preserve">Spatial/Temporal Resolution</w:t>
            </w:r>
          </w:p>
        </w:tc>
        <w:tc>
          <w:tcPr/>
          <w:p>
            <w:pPr>
              <w:pStyle w:val="Compact"/>
            </w:pPr>
            <w:r>
              <w:t xml:space="preserve">Example: 10m spatial resolution</w:t>
            </w:r>
          </w:p>
        </w:tc>
      </w:tr>
      <w:tr>
        <w:tc>
          <w:tcPr/>
          <w:p>
            <w:pPr>
              <w:pStyle w:val="Compact"/>
            </w:pPr>
            <w:r>
              <w:t xml:space="preserve">Verification and Accuracy</w:t>
            </w:r>
          </w:p>
        </w:tc>
        <w:tc>
          <w:tcPr/>
          <w:p>
            <w:pPr>
              <w:pStyle w:val="Compact"/>
            </w:pPr>
            <w:r>
              <w:t xml:space="preserve">Example: Product verification using ground-based reference, accuracy assessment with RMSE calculations.</w:t>
            </w:r>
          </w:p>
        </w:tc>
      </w:tr>
    </w:tbl>
    <w:p>
      <w:r>
        <w:br w:type="page"/>
      </w:r>
    </w:p>
    <w:bookmarkEnd w:id="27"/>
    <w:bookmarkStart w:id="28" w:name="X7d2cad3a0afd2bc06711086d081e55d2d1fb548"/>
    <w:p>
      <w:pPr>
        <w:pStyle w:val="Heading2"/>
      </w:pPr>
      <w:r>
        <w:t xml:space="preserve">0.3 Theoretical Background</w:t>
      </w:r>
      <w:r>
        <w:t xml:space="preserve"> </w:t>
      </w:r>
      <w:r>
        <w:rPr>
          <w:rStyle w:val="yellow-box-line"/>
        </w:rPr>
        <w:t xml:space="preserve">(optional subchapter)</w:t>
      </w:r>
    </w:p>
    <w:p>
      <w:pPr>
        <w:pStyle w:val="yellow-box"/>
      </w:pPr>
      <w:r>
        <w:t xml:space="preserve">Provides an overview of concepts, common definitions and assumptions of the product and links it to related previous studies and work to allow an understanding of the product and applied methodology.</w:t>
      </w:r>
    </w:p>
    <w:bookmarkEnd w:id="28"/>
    <w:bookmarkStart w:id="32" w:name="Xc1f322156304e484fc11e7e2ad9f7633fe1a139"/>
    <w:p>
      <w:pPr>
        <w:pStyle w:val="Heading2"/>
      </w:pPr>
      <w:r>
        <w:t xml:space="preserve">0.4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 Ideally, the description is complemented by a traceability diagram that allows users to understand the uncertainty budget of the product as a result of its inputs and workflow (if needed, add subchapter).</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00240" cy="5044486"/>
            <wp:effectExtent b="0" l="0" r="0" t="0"/>
            <wp:docPr descr="Figure 1.1 Example of a generic workflow (insert your caption here, delete feature and insert your feature)" title="" id="30" name="Picture"/>
            <a:graphic>
              <a:graphicData uri="http://schemas.openxmlformats.org/drawingml/2006/picture">
                <pic:pic>
                  <pic:nvPicPr>
                    <pic:cNvPr descr="CLMS_ATBD_Template-media/figure_1.png" id="31" name="Picture"/>
                    <pic:cNvPicPr>
                      <a:picLocks noChangeArrowheads="1" noChangeAspect="1"/>
                    </pic:cNvPicPr>
                  </pic:nvPicPr>
                  <pic:blipFill>
                    <a:blip r:embed="rId29"/>
                    <a:stretch>
                      <a:fillRect/>
                    </a:stretch>
                  </pic:blipFill>
                  <pic:spPr bwMode="auto">
                    <a:xfrm>
                      <a:off x="0" y="0"/>
                      <a:ext cx="5400240"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2"/>
    <w:bookmarkStart w:id="33" w:name="source-data-mandatory-subchapter"/>
    <w:p>
      <w:pPr>
        <w:pStyle w:val="Heading2"/>
      </w:pPr>
      <w:r>
        <w:t xml:space="preserve">0.5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3"/>
    <w:bookmarkStart w:id="38" w:name="pre-processing-optional-subchapter"/>
    <w:p>
      <w:pPr>
        <w:pStyle w:val="Heading2"/>
      </w:pPr>
      <w:r>
        <w:t xml:space="preserve">0.6 Pre-processing</w:t>
      </w:r>
      <w:r>
        <w:t xml:space="preserve"> </w:t>
      </w:r>
      <w:r>
        <w:rPr>
          <w:rStyle w:val="yellow-box-line"/>
        </w:rPr>
        <w:t xml:space="preserve">(optional subchapter)</w:t>
      </w:r>
    </w:p>
    <w:p>
      <w:pPr>
        <w:pStyle w:val="yellow-box"/>
      </w:pPr>
      <w:r>
        <w:t xml:space="preserve">Details the initial steps taken to prepare the data for further processing, including corrections and adjustments to raw data. Sub-chapter structure optional.</w:t>
      </w:r>
    </w:p>
    <w:bookmarkStart w:id="34" w:name="Xcf397d2ce341ec11cca9f31f0538236eeadf99f"/>
    <w:p>
      <w:pPr>
        <w:pStyle w:val="Heading3"/>
      </w:pPr>
      <w:r>
        <w:t xml:space="preserve">0.6.1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4"/>
    <w:bookmarkStart w:id="35" w:name="X3e486bca6e4a92bd4af67d100009e4479ff44e8"/>
    <w:p>
      <w:pPr>
        <w:pStyle w:val="Heading3"/>
      </w:pPr>
      <w:r>
        <w:t xml:space="preserve">0.6.2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5"/>
    <w:bookmarkStart w:id="36" w:name="X5aa67e8cda8238dbd42396d7d51776fd8b2b2f2"/>
    <w:p>
      <w:pPr>
        <w:pStyle w:val="Heading3"/>
      </w:pPr>
      <w:r>
        <w:t xml:space="preserve">0.6.3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6"/>
    <w:bookmarkStart w:id="37" w:name="intermediate-outputs-optional-subchapter"/>
    <w:p>
      <w:pPr>
        <w:pStyle w:val="Heading3"/>
      </w:pPr>
      <w:r>
        <w:t xml:space="preserve">0.6.4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7"/>
    <w:bookmarkEnd w:id="38"/>
    <w:bookmarkStart w:id="43" w:name="processing-mandatory-subchapter"/>
    <w:p>
      <w:pPr>
        <w:pStyle w:val="Heading2"/>
      </w:pPr>
      <w:r>
        <w:t xml:space="preserve">0.7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39" w:name="processing-overview-optional-subchapter"/>
    <w:p>
      <w:pPr>
        <w:pStyle w:val="Heading3"/>
      </w:pPr>
      <w:r>
        <w:t xml:space="preserve">0.7.1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39"/>
    <w:bookmarkStart w:id="40" w:name="X62a2b14aa8e70d543b41b72a3b6026747d4e4c7"/>
    <w:p>
      <w:pPr>
        <w:pStyle w:val="Heading3"/>
      </w:pPr>
      <w:r>
        <w:t xml:space="preserve">0.7.2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0"/>
    <w:bookmarkStart w:id="41" w:name="X2a795dd9214c8879ee99e90257cae1c30e445d4"/>
    <w:p>
      <w:pPr>
        <w:pStyle w:val="Heading3"/>
      </w:pPr>
      <w:r>
        <w:t xml:space="preserve">0.7.3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1"/>
    <w:bookmarkStart w:id="42" w:name="Xe13a15cb2db62b54056003e3d9b948878aa53d0"/>
    <w:p>
      <w:pPr>
        <w:pStyle w:val="Heading3"/>
      </w:pPr>
      <w:r>
        <w:t xml:space="preserve">0.7.4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2"/>
    <w:bookmarkEnd w:id="43"/>
    <w:bookmarkStart w:id="44" w:name="post-processing-optional-subchapter"/>
    <w:p>
      <w:pPr>
        <w:pStyle w:val="Heading2"/>
      </w:pPr>
      <w:r>
        <w:t xml:space="preserve">0.8 Post-processing</w:t>
      </w:r>
      <w:r>
        <w:t xml:space="preserve"> </w:t>
      </w:r>
      <w:r>
        <w:rPr>
          <w:rStyle w:val="yellow-box-line"/>
        </w:rPr>
        <w:t xml:space="preserve">(optional subchapter)</w:t>
      </w:r>
    </w:p>
    <w:p>
      <w:pPr>
        <w:pStyle w:val="yellow-box"/>
      </w:pPr>
      <w:r>
        <w:t xml:space="preserve">Presents tasks typically involved in the refinement, quality assurance and control,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4"/>
    <w:bookmarkStart w:id="45" w:name="output-products-mandatory-subchapter"/>
    <w:p>
      <w:pPr>
        <w:pStyle w:val="Heading2"/>
      </w:pPr>
      <w:r>
        <w:t xml:space="preserve">0.9 Output products</w:t>
      </w:r>
      <w:r>
        <w:t xml:space="preserve"> </w:t>
      </w:r>
      <w:r>
        <w:rPr>
          <w:rStyle w:val="yellow-box-line"/>
        </w:rPr>
        <w:t xml:space="preserve">(mandatory subchapter)</w:t>
      </w:r>
    </w:p>
    <w:p>
      <w:pPr>
        <w:pStyle w:val="yellow-box"/>
      </w:pPr>
      <w:r>
        <w:t xml:space="preserve">Specifies the types of output products generated (e.g., status layer/change/auxiliary layer, reference layer, near-real time).</w:t>
      </w:r>
    </w:p>
    <w:p>
      <w:pPr>
        <w:pStyle w:val="BodyText"/>
      </w:pPr>
      <w:p>
        <w:r>
          <w:br w:type="page"/>
        </w:r>
      </w:p>
      <w:r>
        <w:t xml:space="preserve"> </w:t>
      </w:r>
      <w:r>
        <w:t xml:space="preserve">#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quality assurance and control process as well as production verification, the quality and accuracy of the products, ensuring they meet the required standards and specifications.</w:t>
      </w:r>
    </w:p>
    <w:p>
      <w:pPr>
        <w:pStyle w:val="BodyText"/>
      </w:pPr>
      <w:p>
        <w:r>
          <w:br w:type="page"/>
        </w:r>
      </w:p>
      <w:r>
        <w:t xml:space="preserve"> </w:t>
      </w:r>
      <w:r>
        <w:t xml:space="preserve">#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pPr>
        <w:pStyle w:val="BodyText"/>
      </w:pPr>
      <w:p>
        <w:r>
          <w:br w:type="page"/>
        </w:r>
      </w:p>
      <w:r>
        <w:t xml:space="preserve"> </w:t>
      </w:r>
      <w:r>
        <w:t xml:space="preserve">#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End w:id="45"/>
    <w:bookmarkStart w:id="47" w:name="terms-of-use-mandatory-subchapter"/>
    <w:p>
      <w:pPr>
        <w:pStyle w:val="Heading2"/>
      </w:pPr>
      <w:r>
        <w:t xml:space="preserve">0.10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r>
        <w:br/>
      </w:r>
      <w:r>
        <w:t xml:space="preserve">Free, full and open access to the products and services of the Copernicus Land Monitoring Service is made on the conditions that:</w:t>
      </w:r>
    </w:p>
    <w:p>
      <w:pPr>
        <w:pStyle w:val="grey-box"/>
        <w:numPr>
          <w:ilvl w:val="0"/>
          <w:numId w:val="1005"/>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05"/>
        </w:numPr>
      </w:pPr>
      <w:r>
        <w:t xml:space="preserve">Where the Copernicus Land Monitoring Service products and services have been adapted or modified by the user, the user shall clearly state this.</w:t>
      </w:r>
    </w:p>
    <w:p>
      <w:pPr>
        <w:pStyle w:val="grey-box"/>
        <w:numPr>
          <w:ilvl w:val="0"/>
          <w:numId w:val="1005"/>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6">
        <w:r>
          <w:rPr>
            <w:rStyle w:val="Hyperlink"/>
          </w:rPr>
          <w:t xml:space="preserve">Consult Data policy — Copernicus Land Monitoring Service for further details</w:t>
        </w:r>
      </w:hyperlink>
    </w:p>
    <w:bookmarkEnd w:id="47"/>
    <w:bookmarkStart w:id="48" w:name="citation-mandatory-subchapter"/>
    <w:p>
      <w:pPr>
        <w:pStyle w:val="Heading2"/>
      </w:pPr>
      <w:r>
        <w:t xml:space="preserve">0.11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grey-box"/>
      </w:pPr>
      <w:hyperlink r:id="rId46">
        <w:r>
          <w:rPr>
            <w:rStyle w:val="Hyperlink"/>
          </w:rPr>
          <w:t xml:space="preserve">Consult Data policy — Copernicus Land Monitoring Service for further details</w:t>
        </w:r>
      </w:hyperlink>
    </w:p>
    <w:bookmarkEnd w:id="48"/>
    <w:bookmarkStart w:id="49" w:name="X64cf0933877235dabbc4167b8ba987de202a9e6"/>
    <w:p>
      <w:pPr>
        <w:pStyle w:val="Heading2"/>
      </w:pPr>
      <w:r>
        <w:t xml:space="preserve">0.12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6">
        <w:r>
          <w:rPr>
            <w:rStyle w:val="Hyperlink"/>
          </w:rPr>
          <w:t xml:space="preserve">Copernicus Land Monitoring Service – Service desk</w:t>
        </w:r>
      </w:hyperlink>
      <w:r>
        <w:t xml:space="preserve">. Product technical support does not include software specific user support or general GIS or remote sensing support.</w:t>
      </w:r>
      <w:r>
        <w:br/>
      </w:r>
      <w:r>
        <w:t xml:space="preserve">More information on the products can be found on the Copernicus Land Monitoring Service website (https://land.copernicus.eu/)</w:t>
      </w:r>
    </w:p>
    <w:p>
      <w:pPr>
        <w:pStyle w:val="BodyText"/>
      </w:pPr>
      <w:p>
        <w:r>
          <w:br w:type="page"/>
        </w:r>
      </w:p>
      <w:r>
        <w:t xml:space="preserve"> </w:t>
      </w:r>
      <w:r>
        <w:t xml:space="preserve">#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pPr>
        <w:pStyle w:val="BodyText"/>
      </w:pPr>
      <w:p>
        <w:r>
          <w:br w:type="page"/>
        </w:r>
      </w:p>
      <w:r>
        <w:t xml:space="preserve"> </w:t>
      </w:r>
      <w:r>
        <w:t xml:space="preserve"># References</w:t>
      </w:r>
      <w:r>
        <w:t xml:space="preserve"> </w:t>
      </w:r>
      <w:r>
        <w:rPr>
          <w:rStyle w:val="yellow-box-line"/>
        </w:rPr>
        <w:t xml:space="preserve">(mandatory chapter)</w:t>
      </w:r>
    </w:p>
    <w:p>
      <w:pPr>
        <w:pStyle w:val="yellow-box"/>
      </w:pPr>
      <w:r>
        <w:t xml:space="preserve">Lists references cited throughout the document.</w:t>
      </w:r>
    </w:p>
    <w:p>
      <w:pPr>
        <w:pStyle w:val="BodyText"/>
      </w:pPr>
      <w:p>
        <w:r>
          <w:br w:type="page"/>
        </w:r>
      </w:p>
      <w:r>
        <w:t xml:space="preserve"> </w:t>
      </w:r>
      <w:r>
        <w:t xml:space="preserve">#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49"/>
    <w:bookmarkEnd w:id="5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A5C4D"/>
    <w:rsid w:val="003A4021"/>
    <w:rsid w:val="004A5C4D"/>
    <w:rsid w:val="004E01A0"/>
    <w:rsid w:val="005156E4"/>
    <w:rsid w:val="006F6002"/>
    <w:rsid w:val="008F49F1"/>
    <w:rsid w:val="009679AF"/>
    <w:rsid w:val="0098164A"/>
    <w:rsid w:val="00AF6E2F"/>
    <w:rsid w:val="00B47CF1"/>
    <w:rsid w:val="00D549CB"/>
    <w:rsid w:val="00E446DE"/>
    <w:rsid w:val="00F86910"/>
    <w:rsid w:val="00F86C2E"/>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9679AF"/>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9679A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9679AF"/>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9679A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9" Target="media/rId29.png" /><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dc:description>Product DESCRIPTION</dc:description>
  <cp:keywords/>
  <dcterms:created xsi:type="dcterms:W3CDTF">2025-05-29T14:17:58Z</dcterms:created>
  <dcterms:modified xsi:type="dcterms:W3CDTF">2025-05-29T14:17:58Z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ATBD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vt:lpwstr>
  </property>
</Properties>
</file>