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 SHORT NAME Product User Manual (PUM)</w:t>
      </w:r>
    </w:p>
    <w:p>
      <w:pPr>
        <w:pStyle w:val="Subtitle"/>
      </w:pPr>
      <w:r>
        <w:t xml:space="preserve">PUM Copernicus Land Monitoring Service - Product full name</w:t>
      </w:r>
    </w:p>
    <w:p>
      <w:pPr>
        <w:pStyle w:val="Date"/>
      </w:pPr>
      <w:r>
        <w:t xml:space="preserve">2022-10-06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“CLMS Word template CLMS_February”</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“CLMS Word template CLMS_February”</w:t>
      </w:r>
      <w:r>
        <w:t xml:space="preserve">).Use automatic numbering for insets, to ensure that insets are numbered sequentially in</w:t>
      </w:r>
      <w:r>
        <w:t xml:space="preserve"> </w:t>
      </w:r>
      <w:r>
        <w:rPr>
          <w:b/>
          <w:bCs/>
        </w:rPr>
        <w:t xml:space="preserve">bold</w:t>
      </w:r>
      <w:r>
        <w:t xml:space="preserve"> </w:t>
      </w:r>
      <w:r>
        <w:t xml:space="preserve">(e.g.,</w:t>
      </w:r>
      <w:r>
        <w:t xml:space="preserve"> </w:t>
      </w:r>
      <w:r>
        <w:rPr>
          <w:b/>
          <w:bCs/>
        </w:rPr>
        <w:t xml:space="preserve">Figure 1</w:t>
      </w:r>
      <w:r>
        <w:t xml:space="preserve">,</w:t>
      </w:r>
      <w:r>
        <w:t xml:space="preserve"> </w:t>
      </w:r>
      <w:r>
        <w:rPr>
          <w:b/>
          <w:bCs/>
        </w:rPr>
        <w:t xml:space="preserve">Table 1</w:t>
      </w:r>
      <w:r>
        <w:t xml:space="preserve">).</w:t>
      </w:r>
    </w:p>
    <w:p>
      <w:pPr>
        <w:numPr>
          <w:ilvl w:val="0"/>
          <w:numId w:val="1002"/>
        </w:numPr>
      </w:pPr>
      <w:r>
        <w:t xml:space="preserve">In the body text, refer to the inset's caption number in</w:t>
      </w:r>
      <w:r>
        <w:t xml:space="preserve"> </w:t>
      </w:r>
      <w:r>
        <w:rPr>
          <w:b/>
          <w:bCs/>
        </w:rPr>
        <w:t xml:space="preserve">bold</w:t>
      </w:r>
      <w:r>
        <w:t xml:space="preserve">, explaining the visual's content (e.g.,</w:t>
      </w:r>
      <w:r>
        <w:t xml:space="preserve"> </w:t>
      </w:r>
      <w:r>
        <w:t xml:space="preserve">“As shown in</w:t>
      </w:r>
      <w:r>
        <w:t xml:space="preserve"> </w:t>
      </w:r>
      <w:r>
        <w:rPr>
          <w:b/>
          <w:bCs/>
        </w:rPr>
        <w:t xml:space="preserve">Inset 1</w:t>
      </w:r>
      <w:r>
        <w:t xml:space="preserve">, the data highlights the following trend…”</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
          <w:bCs/>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ayout w:type="fixed"/>
        <w:tblLook w:firstRow="1" w:lastRow="0" w:firstColumn="0" w:lastColumn="0" w:noHBand="0" w:noVBand="0" w:val="0020"/>
      </w:tblPr>
      <w:tblGrid>
        <w:gridCol w:w="2851"/>
        <w:gridCol w:w="4910"/>
      </w:tblGrid>
      <w:tr>
        <w:trPr>
          <w:tblHeader w:val="on"/>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“name of the product”</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ayout w:type="fixed"/>
        <w:tblLook w:firstRow="1" w:lastRow="0" w:firstColumn="0" w:lastColumn="0" w:noHBand="0" w:noVBand="0" w:val="0020"/>
      </w:tblPr>
      <w:tblGrid>
        <w:gridCol w:w="1926"/>
        <w:gridCol w:w="1926"/>
        <w:gridCol w:w="1926"/>
        <w:gridCol w:w="1926"/>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
          <w:bCs/>
        </w:rPr>
        <w:t xml:space="preserve">before the initial published version</w:t>
      </w:r>
      <w:r>
        <w:t xml:space="preserve">, including version numbers, dates of revisions, and a summary of modifications.</w:t>
      </w:r>
    </w:p>
    <w:tbl>
      <w:tblPr>
        <w:tblStyle w:val="Table"/>
        <w:tblW w:type="pct" w:w="4898"/>
        <w:tblLayout w:type="fixed"/>
        <w:tblLook w:firstRow="1" w:lastRow="0" w:firstColumn="0" w:lastColumn="0" w:noHBand="0" w:noVBand="0" w:val="0020"/>
      </w:tblPr>
      <w:tblGrid>
        <w:gridCol w:w="1131"/>
        <w:gridCol w:w="1050"/>
        <w:gridCol w:w="1535"/>
        <w:gridCol w:w="404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
          <w:bCs/>
        </w:rPr>
        <w:t xml:space="preserve">after the initial published version</w:t>
      </w:r>
      <w:r>
        <w:t xml:space="preserve">, including version numbers, dates of revisions, and a summary of modifications. This table must be only included in the</w:t>
      </w:r>
      <w:r>
        <w:t xml:space="preserve"> </w:t>
      </w:r>
      <w:r>
        <w:rPr>
          <w:b/>
          <w:bCs/>
        </w:rPr>
        <w:t xml:space="preserve">initial PUM published version</w:t>
      </w:r>
      <w:r>
        <w:t xml:space="preserve"> </w:t>
      </w:r>
      <w:r>
        <w:t xml:space="preserve">and without the personal information (</w:t>
      </w:r>
      <w:r>
        <w:t xml:space="preserve">“Created by:”</w:t>
      </w:r>
      <w:r>
        <w:t xml:space="preserve"> </w:t>
      </w:r>
      <w:r>
        <w:t xml:space="preserve">filed must be removed).</w:t>
      </w:r>
    </w:p>
    <w:tbl>
      <w:tblPr>
        <w:tblStyle w:val="Table"/>
        <w:tblW w:type="pct" w:w="4870"/>
        <w:tblLayout w:type="fixed"/>
        <w:tblLook w:firstRow="1" w:lastRow="0" w:firstColumn="0" w:lastColumn="0" w:noHBand="0" w:noVBand="0" w:val="0020"/>
      </w:tblPr>
      <w:tblGrid>
        <w:gridCol w:w="1440"/>
        <w:gridCol w:w="1337"/>
        <w:gridCol w:w="4937"/>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pStyle w:val="yellow-box"/>
        <w:numPr>
          <w:ilvl w:val="0"/>
          <w:numId w:val="1003"/>
        </w:numPr>
      </w:pPr>
      <w:r>
        <w:rPr>
          <w:b/>
          <w:bCs/>
        </w:rPr>
        <w:t xml:space="preserve">Know the audience</w:t>
      </w:r>
      <w:r>
        <w:t xml:space="preserve">: The goal is to make the CLMS product understandable and engaging to someone without specialized knowledge.</w:t>
      </w:r>
    </w:p>
    <w:p>
      <w:pPr>
        <w:pStyle w:val="yellow-box"/>
        <w:numPr>
          <w:ilvl w:val="0"/>
          <w:numId w:val="1003"/>
        </w:numPr>
      </w:pPr>
      <w:r>
        <w:rPr>
          <w:b/>
          <w:bCs/>
        </w:rPr>
        <w:t xml:space="preserve">Be specific and clear</w:t>
      </w:r>
      <w:r>
        <w:t xml:space="preserve">: Avoid vague statements and use clear and concise language that directly conveys your message.</w:t>
      </w:r>
    </w:p>
    <w:p>
      <w:pPr>
        <w:pStyle w:val="yellow-box"/>
        <w:numPr>
          <w:ilvl w:val="0"/>
          <w:numId w:val="1003"/>
        </w:numPr>
      </w:pPr>
      <w:r>
        <w:rPr>
          <w:b/>
          <w:bCs/>
        </w:rPr>
        <w:t xml:space="preserve">Be clear and concise</w:t>
      </w:r>
      <w:r>
        <w:t xml:space="preserve">: Use short, simple words and sentences, aiming for everyday language keeping sentences under 25 words whenever possible. This non-technical summary should not exceed one page.</w:t>
      </w:r>
    </w:p>
    <w:p>
      <w:pPr>
        <w:pStyle w:val="yellow-box"/>
        <w:numPr>
          <w:ilvl w:val="0"/>
          <w:numId w:val="1003"/>
        </w:numPr>
      </w:pPr>
      <w:r>
        <w:rPr>
          <w:b/>
          <w:bCs/>
        </w:rPr>
        <w:t xml:space="preserve">Provide context</w:t>
      </w:r>
      <w:r>
        <w:t xml:space="preserve">: Use concrete examples to help illustrate your points and create a vivid picture for the reader.</w:t>
      </w:r>
    </w:p>
    <w:p>
      <w:pPr>
        <w:pStyle w:val="yellow-box"/>
        <w:numPr>
          <w:ilvl w:val="0"/>
          <w:numId w:val="1003"/>
        </w:numPr>
      </w:pPr>
      <w:r>
        <w:rPr>
          <w:b/>
          <w:bCs/>
        </w:rPr>
        <w:t xml:space="preserve">Use active voice</w:t>
      </w:r>
      <w:r>
        <w:t xml:space="preserve">: Focus on what you are doing rather than what will be done.</w:t>
      </w:r>
    </w:p>
    <w:p>
      <w:pPr>
        <w:pStyle w:val="yellow-box"/>
        <w:numPr>
          <w:ilvl w:val="0"/>
          <w:numId w:val="1003"/>
        </w:numPr>
      </w:pPr>
      <w:r>
        <w:rPr>
          <w:b/>
          <w:bCs/>
        </w:rPr>
        <w:t xml:space="preserve">Limit acronyms and abbreviations</w:t>
      </w:r>
      <w:r>
        <w:t xml:space="preserve">: Avoid using them as much as possible.</w:t>
      </w:r>
    </w:p>
    <w:p>
      <w:pPr>
        <w:pStyle w:val="yellow-box"/>
        <w:numPr>
          <w:ilvl w:val="0"/>
          <w:numId w:val="1003"/>
        </w:numPr>
      </w:pPr>
      <w:r>
        <w:rPr>
          <w:b/>
          <w:bCs/>
        </w:rPr>
        <w:t xml:space="preserve">Avoid technical jargon</w:t>
      </w:r>
      <w:r>
        <w:t xml:space="preserve">: Steer clear of phrases common in report writing (e.g., moreover, therefore).</w:t>
      </w:r>
    </w:p>
    <w:p>
      <w:pPr>
        <w:pStyle w:val="yellow-box"/>
        <w:numPr>
          <w:ilvl w:val="0"/>
          <w:numId w:val="1003"/>
        </w:numPr>
      </w:pPr>
      <w:r>
        <w:rPr>
          <w:b/>
          <w:bCs/>
        </w:rPr>
        <w:t xml:space="preserve">Create original content</w:t>
      </w:r>
      <w:r>
        <w:t xml:space="preserve">: Rather than copying and pasting from the main text, use the suggested headings to organize the summary clearly and accessible to all readers.</w:t>
      </w:r>
    </w:p>
    <w:p>
      <w:pPr>
        <w:pStyle w:val="yellow-box"/>
        <w:numPr>
          <w:ilvl w:val="0"/>
          <w:numId w:val="1003"/>
        </w:numPr>
      </w:pPr>
      <w:r>
        <w:rPr>
          <w:b/>
          <w:bCs/>
        </w:rPr>
        <w:t xml:space="preserve">Be concise</w:t>
      </w:r>
      <w:r>
        <w:t xml:space="preserve">: Strive to maintain a length of 350–400 words, focusing on the core message.</w:t>
      </w:r>
    </w:p>
    <w:p>
      <w:pPr>
        <w:pStyle w:val="yellow-box"/>
      </w:pPr>
      <w:r>
        <w:t xml:space="preserve">For guidance take note of these external references:</w:t>
      </w:r>
    </w:p>
    <w:p>
      <w:pPr>
        <w:pStyle w:val="yellow-box"/>
        <w:numPr>
          <w:ilvl w:val="0"/>
          <w:numId w:val="1004"/>
        </w:numPr>
      </w:pPr>
      <w:hyperlink r:id="rId27">
        <w:r>
          <w:rPr>
            <w:rStyle w:val="Hyperlink"/>
          </w:rPr>
          <w:t xml:space="preserve">https://www.understandinganimalresearch.org.uk/application/files/5516/5226/6818/Writing_NTS_summaries.pdf</w:t>
        </w:r>
      </w:hyperlink>
    </w:p>
    <w:p>
      <w:pPr>
        <w:pStyle w:val="yellow-box"/>
        <w:numPr>
          <w:ilvl w:val="0"/>
          <w:numId w:val="1004"/>
        </w:numPr>
      </w:pPr>
      <w:hyperlink r:id="rId28">
        <w:r>
          <w:rPr>
            <w:rStyle w:val="Hyperlink"/>
          </w:rPr>
          <w:t xml:space="preserve">https://publications.europa.eu/resource/cellar/2b399830-cb4b-11e7-a5d5-01aa75ed71a1.0001.03/DOC_1</w:t>
        </w:r>
      </w:hyperlink>
    </w:p>
    <w:p>
      <w:pPr>
        <w:pStyle w:val="yellow-box"/>
        <w:numPr>
          <w:ilvl w:val="0"/>
          <w:numId w:val="1004"/>
        </w:numPr>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
            <w:bCs/>
          </w:rPr>
          <w:t xml:space="preserve">Product user manual – DLT, FT and TCD 2018 and DLT, FT and TCD Changes</w:t>
        </w:r>
      </w:hyperlink>
      <w:r>
        <w:rPr>
          <w:b/>
          <w:bCs/>
        </w:rPr>
        <w:t xml:space="preserve">:</w:t>
      </w:r>
    </w:p>
    <w:p>
      <w:pPr>
        <w:pStyle w:val="grey-box"/>
      </w:pPr>
      <w:r>
        <w:t xml:space="preserve">The</w:t>
      </w:r>
      <w:r>
        <w:t xml:space="preserve"> </w:t>
      </w:r>
      <w:r>
        <w:rPr>
          <w:b/>
          <w:bCs/>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
          <w:bCs/>
        </w:rPr>
        <w:t xml:space="preserve">Product key Features:</w:t>
      </w:r>
    </w:p>
    <w:p>
      <w:pPr>
        <w:pStyle w:val="grey-box"/>
        <w:numPr>
          <w:ilvl w:val="0"/>
          <w:numId w:val="1005"/>
        </w:numPr>
      </w:pPr>
      <w:r>
        <w:rPr>
          <w:b/>
          <w:bCs/>
        </w:rPr>
        <w:t xml:space="preserve">Tree Cover Density</w:t>
      </w:r>
      <w:r>
        <w:t xml:space="preserve">: A map providing information about the tree coverage, measured in percentages. This helps users understand forest density across different regions.</w:t>
      </w:r>
    </w:p>
    <w:p>
      <w:pPr>
        <w:pStyle w:val="grey-box"/>
        <w:numPr>
          <w:ilvl w:val="0"/>
          <w:numId w:val="1005"/>
        </w:numPr>
      </w:pPr>
      <w:r>
        <w:rPr>
          <w:b/>
          <w:bCs/>
        </w:rPr>
        <w:t xml:space="preserve">Dominant Leaf Type</w:t>
      </w:r>
      <w:r>
        <w:t xml:space="preserve">: A dataset that classifies forests based on tree type, either broadleaved or coniferous. This helps in understanding forest composition and its environmental impacts.</w:t>
      </w:r>
    </w:p>
    <w:p>
      <w:pPr>
        <w:pStyle w:val="grey-box"/>
        <w:numPr>
          <w:ilvl w:val="0"/>
          <w:numId w:val="1005"/>
        </w:numPr>
      </w:pPr>
      <w:r>
        <w:rPr>
          <w:b/>
          <w:bCs/>
        </w:rPr>
        <w:t xml:space="preserve">Forest Type</w:t>
      </w:r>
      <w:r>
        <w:t xml:space="preserve">: Using international definitions, this dataset categorizes areas into forest and non-forest, such as urban parks or agricultural lands.</w:t>
      </w:r>
    </w:p>
    <w:p>
      <w:pPr>
        <w:pStyle w:val="grey-box"/>
        <w:numPr>
          <w:ilvl w:val="0"/>
          <w:numId w:val="1005"/>
        </w:numPr>
      </w:pPr>
      <w:r>
        <w:rPr>
          <w:b/>
          <w:bCs/>
        </w:rPr>
        <w:t xml:space="preserve">Change Detection</w:t>
      </w:r>
      <w:r>
        <w:t xml:space="preserve">: A map that shows where tree cover has increased or decreased between 2015 and 2018. This helps identify deforestation, reforestation, and forest degradation.</w:t>
      </w:r>
    </w:p>
    <w:p>
      <w:pPr>
        <w:pStyle w:val="grey-box"/>
      </w:pPr>
      <w:r>
        <w:rPr>
          <w:b/>
          <w:bCs/>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
          <w:bCs/>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pStyle w:val="yellow-box"/>
        <w:numPr>
          <w:ilvl w:val="0"/>
          <w:numId w:val="1006"/>
        </w:numPr>
      </w:pPr>
      <w:r>
        <w:rPr>
          <w:b/>
          <w:bCs/>
        </w:rPr>
        <w:t xml:space="preserve">Know the audience</w:t>
      </w:r>
      <w:r>
        <w:t xml:space="preserve">: Write with executives and stakeholders in mind. Focus on what they need to know to make informed decisions and avoid unnecessary details.</w:t>
      </w:r>
    </w:p>
    <w:p>
      <w:pPr>
        <w:pStyle w:val="yellow-box"/>
        <w:numPr>
          <w:ilvl w:val="0"/>
          <w:numId w:val="1006"/>
        </w:numPr>
      </w:pPr>
      <w:r>
        <w:rPr>
          <w:b/>
          <w:bCs/>
        </w:rPr>
        <w:t xml:space="preserve">Highlight key points</w:t>
      </w:r>
      <w:r>
        <w:t xml:space="preserve">: Clearly summarize the most important aspects of the product, including objectives, key findings, and recommendations, being direct and to the point.</w:t>
      </w:r>
    </w:p>
    <w:p>
      <w:pPr>
        <w:pStyle w:val="yellow-box"/>
        <w:numPr>
          <w:ilvl w:val="0"/>
          <w:numId w:val="1006"/>
        </w:numPr>
      </w:pPr>
      <w:r>
        <w:rPr>
          <w:b/>
          <w:bCs/>
        </w:rPr>
        <w:t xml:space="preserve">Be clear and concise</w:t>
      </w:r>
      <w:r>
        <w:t xml:space="preserve">: Use straightforward language, aiming for sentences to be no longer than 25 words whenever possible. This executive summary should not exceed two pages.</w:t>
      </w:r>
    </w:p>
    <w:p>
      <w:pPr>
        <w:pStyle w:val="yellow-box"/>
        <w:numPr>
          <w:ilvl w:val="0"/>
          <w:numId w:val="1006"/>
        </w:numPr>
      </w:pPr>
      <w:r>
        <w:rPr>
          <w:b/>
          <w:bCs/>
        </w:rPr>
        <w:t xml:space="preserve">Prioritize Information</w:t>
      </w:r>
      <w:r>
        <w:t xml:space="preserve">: Lead with the most critical information and ensure that the most important details are easily accessible. Use bullet points or subheadings to break down complex information.</w:t>
      </w:r>
    </w:p>
    <w:p>
      <w:pPr>
        <w:pStyle w:val="yellow-box"/>
        <w:numPr>
          <w:ilvl w:val="0"/>
          <w:numId w:val="1006"/>
        </w:numPr>
      </w:pPr>
      <w:r>
        <w:rPr>
          <w:b/>
          <w:bCs/>
        </w:rPr>
        <w:t xml:space="preserve">Use active voice</w:t>
      </w:r>
      <w:r>
        <w:t xml:space="preserve">: Make your writing more engaging by using active voice. Focus on actions and outcomes, emphasizing what has been done and what is recommended.</w:t>
      </w:r>
    </w:p>
    <w:p>
      <w:pPr>
        <w:pStyle w:val="yellow-box"/>
        <w:numPr>
          <w:ilvl w:val="0"/>
          <w:numId w:val="1006"/>
        </w:numPr>
      </w:pPr>
      <w:r>
        <w:rPr>
          <w:b/>
          <w:bCs/>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pStyle w:val="grey-box"/>
        <w:numPr>
          <w:ilvl w:val="0"/>
          <w:numId w:val="1007"/>
        </w:numPr>
      </w:pPr>
      <w:r>
        <w:t xml:space="preserve">Chapter 1 provides the non-technical summary with a generic overview of the product, general information about European Union's Earth Observation Programme and Copernicus Land Monitoring Service (CLMS), who and why the product is used.</w:t>
      </w:r>
    </w:p>
    <w:p>
      <w:pPr>
        <w:pStyle w:val="grey-box"/>
        <w:numPr>
          <w:ilvl w:val="0"/>
          <w:numId w:val="1007"/>
        </w:numPr>
      </w:pPr>
      <w:r>
        <w:t xml:space="preserve">Chapter 2 provides the executive summary of the project along with a general information about European Union's Earth Observation Programme and CLMS.</w:t>
      </w:r>
    </w:p>
    <w:p>
      <w:pPr>
        <w:pStyle w:val="grey-box"/>
        <w:numPr>
          <w:ilvl w:val="0"/>
          <w:numId w:val="1007"/>
        </w:numPr>
      </w:pPr>
      <w:r>
        <w:t xml:space="preserve">Chapter 3 outlines the scope, content and structure of this document.</w:t>
      </w:r>
    </w:p>
    <w:p>
      <w:pPr>
        <w:pStyle w:val="grey-box"/>
        <w:numPr>
          <w:ilvl w:val="0"/>
          <w:numId w:val="1007"/>
        </w:numPr>
      </w:pPr>
      <w:r>
        <w:t xml:space="preserve">Chapter 4 introduces the initial objectives and user needs, and feedback collected.</w:t>
      </w:r>
    </w:p>
    <w:p>
      <w:pPr>
        <w:pStyle w:val="grey-box"/>
        <w:numPr>
          <w:ilvl w:val="0"/>
          <w:numId w:val="1007"/>
        </w:numPr>
      </w:pPr>
      <w:r>
        <w:t xml:space="preserve">Chapter 5 describes the current user requirements.</w:t>
      </w:r>
    </w:p>
    <w:p>
      <w:pPr>
        <w:pStyle w:val="grey-box"/>
        <w:numPr>
          <w:ilvl w:val="0"/>
          <w:numId w:val="1007"/>
        </w:numPr>
      </w:pPr>
      <w:r>
        <w:t xml:space="preserve">Chapter 6 presents potential application areas and example use cases.</w:t>
      </w:r>
    </w:p>
    <w:p>
      <w:pPr>
        <w:pStyle w:val="grey-box"/>
        <w:numPr>
          <w:ilvl w:val="0"/>
          <w:numId w:val="1007"/>
        </w:numPr>
      </w:pPr>
      <w:r>
        <w:t xml:space="preserve">Chapter 7 presents product description (product content and characteristics).</w:t>
      </w:r>
    </w:p>
    <w:p>
      <w:pPr>
        <w:pStyle w:val="grey-box"/>
        <w:numPr>
          <w:ilvl w:val="0"/>
          <w:numId w:val="1007"/>
        </w:numPr>
      </w:pPr>
      <w:r>
        <w:t xml:space="preserve">Chapter 8 summarizes the product methodology and workflow production.</w:t>
      </w:r>
    </w:p>
    <w:p>
      <w:pPr>
        <w:pStyle w:val="grey-box"/>
        <w:numPr>
          <w:ilvl w:val="0"/>
          <w:numId w:val="1007"/>
        </w:numPr>
      </w:pPr>
      <w:r>
        <w:t xml:space="preserve">Chapter 9 presents the terms of use, citation guidelines, and technical support for the product.</w:t>
      </w:r>
    </w:p>
    <w:p>
      <w:pPr>
        <w:pStyle w:val="grey-box"/>
        <w:numPr>
          <w:ilvl w:val="0"/>
          <w:numId w:val="1007"/>
        </w:numPr>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mandatory-chapter"/>
    <w:p>
      <w:pPr>
        <w:pStyle w:val="Heading1"/>
      </w:pPr>
      <w:r>
        <w:t xml:space="preserve">5. User requirements</w:t>
      </w:r>
      <w:r>
        <w:t xml:space="preserve"> </w:t>
      </w:r>
      <w:r>
        <w:rPr>
          <w:rStyle w:val="yellow-box-line"/>
        </w:rPr>
        <w:t xml:space="preserve">(mandatory chapter)</w:t>
      </w:r>
    </w:p>
    <w:p>
      <w:pPr>
        <w:pStyle w:val="yellow-box"/>
      </w:pPr>
      <w:r>
        <w:t xml:space="preserve">Summarize the known current user needs. Where applicable, the review of user requirements for the product can reference topics such as:"</w:t>
      </w:r>
    </w:p>
    <w:p>
      <w:pPr>
        <w:pStyle w:val="yellow-box"/>
        <w:numPr>
          <w:ilvl w:val="0"/>
          <w:numId w:val="1008"/>
        </w:numPr>
      </w:pPr>
      <w:r>
        <w:t xml:space="preserve">Policy and monitoring support</w:t>
      </w:r>
    </w:p>
    <w:p>
      <w:pPr>
        <w:pStyle w:val="yellow-box"/>
        <w:numPr>
          <w:ilvl w:val="0"/>
          <w:numId w:val="1008"/>
        </w:numPr>
      </w:pPr>
      <w:r>
        <w:t xml:space="preserve">Land cover and land use mapping</w:t>
      </w:r>
    </w:p>
    <w:p>
      <w:pPr>
        <w:pStyle w:val="yellow-box"/>
        <w:numPr>
          <w:ilvl w:val="0"/>
          <w:numId w:val="1008"/>
        </w:numPr>
      </w:pPr>
      <w:r>
        <w:t xml:space="preserve">Data accessibility</w:t>
      </w:r>
    </w:p>
    <w:p>
      <w:pPr>
        <w:pStyle w:val="yellow-box"/>
        <w:numPr>
          <w:ilvl w:val="0"/>
          <w:numId w:val="1008"/>
        </w:numPr>
      </w:pPr>
      <w:r>
        <w:t xml:space="preserve">Frequency and timeliness</w:t>
      </w:r>
    </w:p>
    <w:p>
      <w:pPr>
        <w:pStyle w:val="yellow-box"/>
        <w:numPr>
          <w:ilvl w:val="0"/>
          <w:numId w:val="1008"/>
        </w:numPr>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 including all layers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 Ideally, exemplary tools for accessing and using the data are mentioned.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products/layers, the elements included and excluded, classified features and the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pStyle w:val="yellow-box"/>
        <w:numPr>
          <w:ilvl w:val="0"/>
          <w:numId w:val="1009"/>
        </w:numPr>
      </w:pPr>
      <w:r>
        <w:t xml:space="preserve">If a field from Table 7.1 and Table 7.2 is not applicable, please insert the code 'NA' in the content description. Tables should ideally be formatted to fit on one page.</w:t>
      </w:r>
    </w:p>
    <w:p>
      <w:pPr>
        <w:pStyle w:val="yellow-box"/>
        <w:numPr>
          <w:ilvl w:val="0"/>
          <w:numId w:val="1009"/>
        </w:numPr>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product/layer sheet (replace with field ‘Layer name’)</w:t>
      </w:r>
    </w:p>
    <w:tbl>
      <w:tblPr>
        <w:tblStyle w:val="Table"/>
        <w:tblW w:type="pct" w:w="5000"/>
        <w:tblLayout w:type="fixed"/>
        <w:tblLook w:firstRow="1" w:lastRow="0" w:firstColumn="0" w:lastColumn="0" w:noHBand="0" w:noVBand="0" w:val="0020"/>
        <w:tblCaption w:val="Table 7.1 Vector product/layer sheet (replace with field ‘Layer name’)"/>
      </w:tblPr>
      <w:tblGrid>
        <w:gridCol w:w="1320"/>
        <w:gridCol w:w="1320"/>
        <w:gridCol w:w="1320"/>
        <w:gridCol w:w="1320"/>
        <w:gridCol w:w="1320"/>
        <w:gridCol w:w="1320"/>
      </w:tblGrid>
      <w:tr>
        <w:trPr>
          <w:tblHeader w:val="on"/>
        </w:trPr>
        <w:tc>
          <w:tcPr/>
          <w:p>
            <w:pPr>
              <w:pStyle w:val="Compact"/>
            </w:pPr>
            <w:r>
              <w:t xml:space="preserve">Field</w:t>
            </w:r>
          </w:p>
        </w:tc>
        <w:tc>
          <w:tcPr>
            <w:gridSpan w:val="5"/>
          </w:tcPr>
          <w:p>
            <w:pPr>
              <w:pStyle w:val="Compact"/>
            </w:pPr>
            <w:r>
              <w:t xml:space="preserve">Content description</w:t>
            </w:r>
          </w:p>
        </w:tc>
      </w:tr>
      <w:tr>
        <w:tc>
          <w:tcPr/>
          <w:p>
            <w:pPr>
              <w:pStyle w:val="Compact"/>
            </w:pPr>
            <w:r>
              <w:t xml:space="preserve">Layer name</w:t>
            </w:r>
          </w:p>
        </w:tc>
        <w:tc>
          <w:tcPr>
            <w:gridSpan w:val="5"/>
          </w:tcPr>
          <w:p>
            <w:pPr>
              <w:pStyle w:val="Compact"/>
            </w:pPr>
            <w:r>
              <w:t xml:space="preserve">Descriptive name of the layer (e.g., Urban Atlas Land Cover/Land Use 2021; CLCplus Backbone 2018 vector)</w:t>
            </w:r>
          </w:p>
        </w:tc>
      </w:tr>
      <w:tr>
        <w:tc>
          <w:tcPr/>
          <w:p>
            <w:pPr>
              <w:pStyle w:val="Compact"/>
            </w:pPr>
            <w:r>
              <w:t xml:space="preserve">Acronym</w:t>
            </w:r>
          </w:p>
        </w:tc>
        <w:tc>
          <w:tcPr>
            <w:gridSpan w:val="5"/>
          </w:tcPr>
          <w:p>
            <w:pPr>
              <w:pStyle w:val="Compact"/>
            </w:pPr>
            <w:r>
              <w:t xml:space="preserve">Abbreviation or shortened form of the layer name (align with file naming)</w:t>
            </w:r>
          </w:p>
        </w:tc>
      </w:tr>
      <w:tr>
        <w:tc>
          <w:tcPr/>
          <w:p>
            <w:pPr>
              <w:pStyle w:val="Compact"/>
            </w:pPr>
            <w:r>
              <w:t xml:space="preserve">Product (group/family)</w:t>
            </w:r>
          </w:p>
        </w:tc>
        <w:tc>
          <w:tcPr>
            <w:gridSpan w:val="5"/>
          </w:tcPr>
          <w:p>
            <w:pPr>
              <w:pStyle w:val="Compact"/>
            </w:pPr>
            <w:r>
              <w:t xml:space="preserve">Broader category or group to which the layer belongs within the CLMS portfolio (e.g. Urban Atlas (Priority Area Monitoring); CLCplus (Land Cover and Land Use Mapping))</w:t>
            </w:r>
          </w:p>
        </w:tc>
      </w:tr>
      <w:tr>
        <w:tc>
          <w:tcPr/>
          <w:p>
            <w:pPr>
              <w:pStyle w:val="Compact"/>
            </w:pPr>
            <w:r>
              <w:t xml:space="preserve">Layer category</w:t>
            </w:r>
          </w:p>
        </w:tc>
        <w:tc>
          <w:tcPr>
            <w:gridSpan w:val="5"/>
          </w:tcPr>
          <w:p>
            <w:pPr>
              <w:pStyle w:val="Compact"/>
            </w:pPr>
            <w:r>
              <w:t xml:space="preserve">Categorization of a layer according to its content, purpose, timeliness, level of processing or similar (e.g. status/change/auxiliary/reference layer; near-real time)</w:t>
            </w:r>
          </w:p>
        </w:tc>
      </w:tr>
      <w:tr>
        <w:tc>
          <w:tcPr/>
          <w:p>
            <w:pPr>
              <w:pStyle w:val="Compact"/>
            </w:pPr>
            <w:r>
              <w:t xml:space="preserve">Summary</w:t>
            </w:r>
          </w:p>
        </w:tc>
        <w:tc>
          <w:tcPr>
            <w:gridSpan w:val="5"/>
          </w:tcPr>
          <w:p>
            <w:pPr>
              <w:pStyle w:val="Compact"/>
            </w:pPr>
            <w:r>
              <w:t xml:space="preserve">Brief description of the layer, including the data type (vector), spatial resolution, input data sources, reference dates, and auxiliary features</w:t>
            </w:r>
          </w:p>
        </w:tc>
      </w:tr>
      <w:tr>
        <w:tc>
          <w:tcPr/>
          <w:p>
            <w:pPr>
              <w:pStyle w:val="Compact"/>
            </w:pPr>
            <w:r>
              <w:t xml:space="preserve">Reference year/cycle/period</w:t>
            </w:r>
          </w:p>
        </w:tc>
        <w:tc>
          <w:tcPr>
            <w:gridSpan w:val="5"/>
          </w:tcPr>
          <w:p>
            <w:pPr>
              <w:pStyle w:val="Compact"/>
            </w:pPr>
            <w:r>
              <w:t xml:space="preserve">Specific year, cycle or period that the data represents (e.g. 2018, 2017-2024, days 1-10)</w:t>
            </w:r>
          </w:p>
        </w:tc>
      </w:tr>
      <w:tr>
        <w:tc>
          <w:tcPr/>
          <w:p>
            <w:pPr>
              <w:pStyle w:val="Compact"/>
            </w:pPr>
            <w:r>
              <w:t xml:space="preserve">Geometric resolution</w:t>
            </w:r>
          </w:p>
        </w:tc>
        <w:tc>
          <w:tcPr>
            <w:gridSpan w:val="5"/>
          </w:tcPr>
          <w:p>
            <w:pPr>
              <w:pStyle w:val="Compact"/>
            </w:pPr>
            <w:r>
              <w:t xml:space="preserve">Mapping scale of the vector data (e.g. scale of 1:10 000)</w:t>
            </w:r>
          </w:p>
        </w:tc>
      </w:tr>
      <w:tr>
        <w:tc>
          <w:tcPr/>
          <w:p>
            <w:pPr>
              <w:pStyle w:val="Compact"/>
            </w:pPr>
            <w:r>
              <w:t xml:space="preserve">Coordinate Reference System</w:t>
            </w:r>
          </w:p>
        </w:tc>
        <w:tc>
          <w:tcPr>
            <w:gridSpan w:val="5"/>
          </w:tcPr>
          <w:p>
            <w:pPr>
              <w:pStyle w:val="Compact"/>
            </w:pPr>
            <w:r>
              <w:t xml:space="preserve">Spatial reference system used (e.g. European ETRS89 LAEA projection/national projections)</w:t>
            </w:r>
          </w:p>
        </w:tc>
      </w:tr>
      <w:tr>
        <w:tc>
          <w:tcPr/>
          <w:p>
            <w:pPr>
              <w:pStyle w:val="Compact"/>
            </w:pPr>
            <w:r>
              <w:t xml:space="preserve">Coverage</w:t>
            </w:r>
          </w:p>
        </w:tc>
        <w:tc>
          <w:tcPr>
            <w:gridSpan w:val="5"/>
          </w:tcPr>
          <w:p>
            <w:pPr>
              <w:pStyle w:val="Compact"/>
            </w:pPr>
            <w:r>
              <w:t xml:space="preserve">Geographic area covered by the product area (and reference of EEA coverage) (e.g. EEA-38 + UK)</w:t>
            </w:r>
          </w:p>
        </w:tc>
      </w:tr>
      <w:tr>
        <w:tc>
          <w:tcPr/>
          <w:p>
            <w:pPr>
              <w:pStyle w:val="Compact"/>
            </w:pPr>
            <w:r>
              <w:t xml:space="preserve">Geometric accuracy</w:t>
            </w:r>
          </w:p>
        </w:tc>
        <w:tc>
          <w:tcPr>
            <w:gridSpan w:val="5"/>
          </w:tcPr>
          <w:p>
            <w:pPr>
              <w:pStyle w:val="Compact"/>
            </w:pPr>
            <w:r>
              <w:t xml:space="preserve">Positional accuracy of the product, expressed in meters at a specific % confidence level (e.g. ~11m at 95.5% confidence)</w:t>
            </w:r>
          </w:p>
        </w:tc>
      </w:tr>
      <w:tr>
        <w:tc>
          <w:tcPr/>
          <w:p>
            <w:pPr>
              <w:pStyle w:val="Compact"/>
            </w:pPr>
            <w:r>
              <w:t xml:space="preserve">Thematic accuracy</w:t>
            </w:r>
          </w:p>
        </w:tc>
        <w:tc>
          <w:tcPr>
            <w:gridSpan w:val="5"/>
          </w:tcPr>
          <w:p>
            <w:pPr>
              <w:pStyle w:val="Compac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pPr>
            <w:r>
              <w:t xml:space="preserve">Minimum Mapping Unit</w:t>
            </w:r>
          </w:p>
        </w:tc>
        <w:tc>
          <w:tcPr>
            <w:gridSpan w:val="5"/>
          </w:tcPr>
          <w:p>
            <w:pPr>
              <w:pStyle w:val="Compact"/>
            </w:pPr>
            <w:r>
              <w:t xml:space="preserve">Smallest area that is represented in the product (e.g., 0.5 ha)</w:t>
            </w:r>
          </w:p>
        </w:tc>
      </w:tr>
      <w:tr>
        <w:tc>
          <w:tcPr/>
          <w:p>
            <w:pPr>
              <w:pStyle w:val="Compact"/>
            </w:pPr>
            <w:r>
              <w:t xml:space="preserve">Minimum Mapping Width</w:t>
            </w:r>
          </w:p>
        </w:tc>
        <w:tc>
          <w:tcPr>
            <w:gridSpan w:val="5"/>
          </w:tcPr>
          <w:p>
            <w:pPr>
              <w:pStyle w:val="Compact"/>
            </w:pPr>
            <w:r>
              <w:t xml:space="preserve">Smallest width of features that is represented in the product (e.g., 20 m)</w:t>
            </w:r>
          </w:p>
        </w:tc>
      </w:tr>
      <w:tr>
        <w:tc>
          <w:tcPr/>
          <w:p>
            <w:pPr>
              <w:pStyle w:val="Compact"/>
            </w:pPr>
            <w:r>
              <w:t xml:space="preserve">Vector classes</w:t>
            </w:r>
          </w:p>
        </w:tc>
        <w:tc>
          <w:tcPr>
            <w:gridSpan w:val="5"/>
          </w:tcPr>
          <w:p>
            <w:pPr>
              <w:pStyle w:val="Compac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pPr>
            <w:r>
              <w:t xml:space="preserve">Attributes</w:t>
            </w:r>
          </w:p>
        </w:tc>
        <w:tc>
          <w:tcPr>
            <w:gridSpan w:val="5"/>
          </w:tcPr>
          <w:p>
            <w:pPr>
              <w:pStyle w:val="Compact"/>
            </w:pPr>
            <w:r>
              <w:t xml:space="preserve">Attribute information associated with vector features, including the following minimum fields:</w:t>
            </w:r>
          </w:p>
        </w:tc>
      </w:tr>
      <w:tr>
        <w:tc>
          <w:tcPr>
            <w:gridSpan w:val="1"/>
            <w:vMerge w:val="continue"/>
          </w:tcPr>
          <w:p>
            <w:pPr/>
          </w:p>
        </w:tc>
        <w:tc>
          <w:tcPr/>
          <w:p>
            <w:pPr>
              <w:pStyle w:val="Compact"/>
            </w:pPr>
            <w:r>
              <w:rPr>
                <w:b/>
                <w:bCs/>
              </w:rPr>
              <w:t xml:space="preserve">Field</w:t>
            </w:r>
          </w:p>
        </w:tc>
        <w:tc>
          <w:tcPr/>
          <w:p>
            <w:pPr>
              <w:pStyle w:val="Compact"/>
            </w:pPr>
            <w:r>
              <w:rPr>
                <w:b/>
                <w:bCs/>
              </w:rPr>
              <w:t xml:space="preserve">Description</w:t>
            </w:r>
          </w:p>
        </w:tc>
        <w:tc>
          <w:tcPr/>
          <w:p>
            <w:pPr>
              <w:pStyle w:val="Compact"/>
            </w:pPr>
            <w:r>
              <w:rPr>
                <w:b/>
                <w:bCs/>
              </w:rPr>
              <w:t xml:space="preserve">Type</w:t>
            </w:r>
          </w:p>
        </w:tc>
        <w:tc>
          <w:tcPr/>
          <w:p>
            <w:pPr>
              <w:pStyle w:val="Compact"/>
            </w:pPr>
            <w:r>
              <w:rPr>
                <w:b/>
                <w:bCs/>
              </w:rPr>
              <w:t xml:space="preserve">Value(s)</w:t>
            </w:r>
          </w:p>
        </w:tc>
        <w:tc>
          <w:tcPr/>
          <w:p>
            <w:pPr>
              <w:pStyle w:val="Compact"/>
            </w:pPr>
            <w:r>
              <w:rPr>
                <w:b/>
                <w:bCs/>
              </w:rPr>
              <w:t xml:space="preserve">NoData value</w:t>
            </w:r>
          </w:p>
        </w:tc>
      </w:tr>
      <w:tr>
        <w:tc>
          <w:tcPr>
            <w:gridSpan w:val="1"/>
            <w:vMerge w:val="continue"/>
          </w:tcPr>
          <w:p>
            <w:pPr/>
          </w:p>
        </w:tc>
        <w:tc>
          <w:tcPr/>
          <w:p>
            <w:pPr>
              <w:pStyle w:val="Compact"/>
            </w:pPr>
            <w:r>
              <w:t xml:space="preserve">Shape</w:t>
            </w:r>
          </w:p>
        </w:tc>
        <w:tc>
          <w:tcPr/>
          <w:p>
            <w:pPr>
              <w:pStyle w:val="Compact"/>
            </w:pPr>
            <w:r>
              <w:t xml:space="preserve">Polygon</w:t>
            </w:r>
          </w:p>
        </w:tc>
        <w:tc>
          <w:tcPr/>
          <w:p>
            <w:pPr>
              <w:pStyle w:val="Compact"/>
            </w:pPr>
            <w:r>
              <w:t xml:space="preserve">Geometry</w:t>
            </w:r>
          </w:p>
        </w:tc>
        <w:tc>
          <w:tcPr/>
          <w:p>
            <w:pPr>
              <w:pStyle w:val="Compact"/>
            </w:pPr>
            <w:r>
              <w:t xml:space="preserve">Polygon</w:t>
            </w:r>
          </w:p>
        </w:tc>
        <w:tc>
          <w:tcPr/>
          <w:p>
            <w:pPr>
              <w:pStyle w:val="Compact"/>
            </w:pPr>
          </w:p>
        </w:tc>
      </w:tr>
      <w:tr>
        <w:tc>
          <w:tcPr>
            <w:gridSpan w:val="1"/>
            <w:vMerge w:val="continue"/>
          </w:tcPr>
          <w:p>
            <w:pPr/>
          </w:p>
        </w:tc>
        <w:tc>
          <w:tcPr/>
          <w:p>
            <w:pPr>
              <w:pStyle w:val="Compact"/>
            </w:pPr>
            <w:r>
              <w:t xml:space="preserve">Shape_Area</w:t>
            </w:r>
          </w:p>
        </w:tc>
        <w:tc>
          <w:tcPr/>
          <w:p>
            <w:pPr>
              <w:pStyle w:val="Compact"/>
            </w:pPr>
            <w:r>
              <w:t xml:space="preserve">Area</w:t>
            </w:r>
          </w:p>
        </w:tc>
        <w:tc>
          <w:tcPr/>
          <w:p>
            <w:pPr>
              <w:pStyle w:val="Compact"/>
            </w:pPr>
            <w:r>
              <w:t xml:space="preserve">Double</w:t>
            </w:r>
          </w:p>
        </w:tc>
        <w:tc>
          <w:tcPr/>
          <w:p>
            <w:pPr>
              <w:pStyle w:val="Compact"/>
            </w:pPr>
            <w:r>
              <w:t xml:space="preserve">0.001 to 1.8E308</w:t>
            </w:r>
          </w:p>
        </w:tc>
        <w:tc>
          <w:tcPr/>
          <w:p>
            <w:pPr>
              <w:pStyle w:val="Compact"/>
            </w:pPr>
          </w:p>
        </w:tc>
      </w:tr>
      <w:tr>
        <w:tc>
          <w:tcPr>
            <w:gridSpan w:val="1"/>
            <w:vMerge w:val="continue"/>
          </w:tcPr>
          <w:p>
            <w:pPr/>
          </w:p>
        </w:tc>
        <w:tc>
          <w:tcPr/>
          <w:p>
            <w:pPr>
              <w:pStyle w:val="Compact"/>
            </w:pPr>
            <w:r>
              <w:t xml:space="preserve">X_code</w:t>
            </w:r>
          </w:p>
        </w:tc>
        <w:tc>
          <w:tcPr/>
          <w:p>
            <w:pPr>
              <w:pStyle w:val="Compact"/>
            </w:pPr>
            <w:r>
              <w:t xml:space="preserve">X vector LC class</w:t>
            </w:r>
          </w:p>
        </w:tc>
        <w:tc>
          <w:tcPr/>
          <w:p>
            <w:pPr>
              <w:pStyle w:val="Compact"/>
            </w:pPr>
            <w:r>
              <w:t xml:space="preserve">Integer</w:t>
            </w:r>
          </w:p>
        </w:tc>
        <w:tc>
          <w:tcPr/>
          <w:p>
            <w:pPr>
              <w:pStyle w:val="Compact"/>
            </w:pPr>
          </w:p>
        </w:tc>
        <w:tc>
          <w:tcPr/>
          <w:p>
            <w:pPr>
              <w:pStyle w:val="Compact"/>
            </w:pPr>
            <w:r>
              <w:t xml:space="preserve">254</w:t>
            </w:r>
          </w:p>
        </w:tc>
      </w:tr>
      <w:tr>
        <w:tc>
          <w:tcPr/>
          <w:p>
            <w:pPr>
              <w:pStyle w:val="Compact"/>
            </w:pPr>
            <w:r>
              <w:t xml:space="preserve">Metadata</w:t>
            </w:r>
          </w:p>
        </w:tc>
        <w:tc>
          <w:tcPr>
            <w:gridSpan w:val="5"/>
          </w:tcPr>
          <w:p>
            <w:pPr>
              <w:pStyle w:val="Compact"/>
            </w:pPr>
            <w:r>
              <w:t xml:space="preserve">Description of the accompanying metadata, including its format and content (e.g. XML metadata files compliant with INSPIRE metadata standards)</w:t>
            </w:r>
          </w:p>
        </w:tc>
      </w:tr>
      <w:tr>
        <w:tc>
          <w:tcPr/>
          <w:p>
            <w:pPr>
              <w:pStyle w:val="Compact"/>
            </w:pPr>
            <w:r>
              <w:t xml:space="preserve">Delivery format</w:t>
            </w:r>
          </w:p>
        </w:tc>
        <w:tc>
          <w:tcPr>
            <w:gridSpan w:val="5"/>
          </w:tcPr>
          <w:p>
            <w:pPr>
              <w:pStyle w:val="Compact"/>
            </w:pPr>
            <w:r>
              <w:t xml:space="preserve">File format in which the layer and ancillary files are delivered (e.g. geopackage, dataset in HDF5, external colour tables in *.lyr and *.lyrx formats)</w:t>
            </w:r>
          </w:p>
        </w:tc>
      </w:tr>
      <w:tr>
        <w:tc>
          <w:tcPr/>
          <w:p>
            <w:pPr>
              <w:pStyle w:val="Compact"/>
            </w:pPr>
            <w:r>
              <w:t xml:space="preserve">Quality -- Production verification</w:t>
            </w:r>
          </w:p>
        </w:tc>
        <w:tc>
          <w:tcPr>
            <w:gridSpan w:val="5"/>
          </w:tcPr>
          <w:p>
            <w:pPr>
              <w:pStyle w:val="Compact"/>
            </w:pPr>
            <w:r>
              <w:t xml:space="preserve">Quality statement of the layer detailing the results of production verification: user's/producer's or/and overall quality of the layer (e.g. layer thematic accuracy reached/exceed the 90% producer's and user's target.)</w:t>
            </w:r>
          </w:p>
        </w:tc>
      </w:tr>
    </w:tbl>
    <w:p>
      <w:r>
        <w:br w:type="page"/>
      </w:r>
    </w:p>
    <w:p>
      <w:pPr>
        <w:pStyle w:val="TableCaption"/>
      </w:pPr>
      <w:r>
        <w:t xml:space="preserve">Table 7.2 Raster product/layer sheet (replace with field 'Layer name')</w:t>
      </w:r>
    </w:p>
    <w:tbl>
      <w:tblPr>
        <w:tblStyle w:val="Table"/>
        <w:tblW w:type="pct" w:w="5000"/>
        <w:tblLayout w:type="fixed"/>
        <w:tblLook w:firstRow="1" w:lastRow="0" w:firstColumn="0" w:lastColumn="0" w:noHBand="0" w:noVBand="0" w:val="0020"/>
        <w:tblCaption w:val="Table 7.2 Raster product/layer sheet (replace with field 'Layer name')"/>
      </w:tblPr>
      <w:tblGrid>
        <w:gridCol w:w="2640"/>
        <w:gridCol w:w="2640"/>
        <w:gridCol w:w="2640"/>
      </w:tblGrid>
      <w:tr>
        <w:trPr>
          <w:tblHeader w:val="on"/>
        </w:trPr>
        <w:tc>
          <w:tcPr/>
          <w:p>
            <w:pPr>
              <w:pStyle w:val="Compact"/>
            </w:pPr>
            <w:r>
              <w:t xml:space="preserve">Field</w:t>
            </w:r>
          </w:p>
        </w:tc>
        <w:tc>
          <w:tcPr>
            <w:gridSpan w:val="2"/>
          </w:tcPr>
          <w:p>
            <w:pPr>
              <w:pStyle w:val="Compact"/>
            </w:pPr>
            <w:r>
              <w:t xml:space="preserve">Content description</w:t>
            </w:r>
          </w:p>
        </w:tc>
      </w:tr>
      <w:tr>
        <w:tc>
          <w:tcPr/>
          <w:p>
            <w:pPr>
              <w:pStyle w:val="Compact"/>
            </w:pPr>
            <w:r>
              <w:t xml:space="preserve">Layer name</w:t>
            </w:r>
          </w:p>
        </w:tc>
        <w:tc>
          <w:tcPr>
            <w:gridSpan w:val="2"/>
          </w:tcPr>
          <w:p>
            <w:pPr>
              <w:pStyle w:val="Compact"/>
            </w:pPr>
            <w:r>
              <w:t xml:space="preserve">Descriptive name of the layer (e.g. HRL Forest - Tree Cover Density 10m)</w:t>
            </w:r>
          </w:p>
        </w:tc>
      </w:tr>
      <w:tr>
        <w:tc>
          <w:tcPr/>
          <w:p>
            <w:pPr>
              <w:pStyle w:val="Compact"/>
            </w:pPr>
            <w:r>
              <w:t xml:space="preserve">Acronym</w:t>
            </w:r>
          </w:p>
        </w:tc>
        <w:tc>
          <w:tcPr>
            <w:gridSpan w:val="2"/>
          </w:tcPr>
          <w:p>
            <w:pPr>
              <w:pStyle w:val="Compact"/>
            </w:pPr>
            <w:r>
              <w:t xml:space="preserve">Abbreviation or shortened form of the layer name (align with file naming)</w:t>
            </w:r>
          </w:p>
        </w:tc>
      </w:tr>
      <w:tr>
        <w:tc>
          <w:tcPr/>
          <w:p>
            <w:pPr>
              <w:pStyle w:val="Compact"/>
            </w:pPr>
            <w:r>
              <w:t xml:space="preserve">Product (group/family)</w:t>
            </w:r>
          </w:p>
        </w:tc>
        <w:tc>
          <w:tcPr>
            <w:gridSpan w:val="2"/>
          </w:tcPr>
          <w:p>
            <w:pPr>
              <w:pStyle w:val="Compact"/>
            </w:pPr>
            <w:r>
              <w:t xml:space="preserve">Broader category or group to which the layer belongs within the CLMS portfolio (e.g. VLCC/HRL Forest (Land Cover and Land Use Mapping; HR-VPP (Bio-geophysical Parameters)</w:t>
            </w:r>
          </w:p>
        </w:tc>
      </w:tr>
      <w:tr>
        <w:tc>
          <w:tcPr/>
          <w:p>
            <w:pPr>
              <w:pStyle w:val="Compact"/>
            </w:pPr>
            <w:r>
              <w:t xml:space="preserve">Layer category</w:t>
            </w:r>
          </w:p>
        </w:tc>
        <w:tc>
          <w:tcPr>
            <w:gridSpan w:val="2"/>
          </w:tcPr>
          <w:p>
            <w:pPr>
              <w:pStyle w:val="Compact"/>
            </w:pPr>
            <w:r>
              <w:t xml:space="preserve">Categorization of a layer according to its content, purpose, timeliness, level of processing or similar (e.g. status/change/auxiliary/reference layer; near-real time)</w:t>
            </w:r>
          </w:p>
        </w:tc>
      </w:tr>
      <w:tr>
        <w:tc>
          <w:tcPr/>
          <w:p>
            <w:pPr>
              <w:pStyle w:val="Compact"/>
            </w:pPr>
            <w:r>
              <w:t xml:space="preserve">Summary</w:t>
            </w:r>
          </w:p>
        </w:tc>
        <w:tc>
          <w:tcPr>
            <w:gridSpan w:val="2"/>
          </w:tcPr>
          <w:p>
            <w:pPr>
              <w:pStyle w:val="Compact"/>
            </w:pPr>
            <w:r>
              <w:t xml:space="preserve">Brief description of the layer, including the data type (vector), spatial resolution, input data sources, reference dates, and auxiliary features</w:t>
            </w:r>
          </w:p>
        </w:tc>
      </w:tr>
      <w:tr>
        <w:tc>
          <w:tcPr/>
          <w:p>
            <w:pPr>
              <w:pStyle w:val="Compact"/>
            </w:pPr>
            <w:r>
              <w:t xml:space="preserve">Reference year/cycle/period</w:t>
            </w:r>
          </w:p>
        </w:tc>
        <w:tc>
          <w:tcPr>
            <w:gridSpan w:val="2"/>
          </w:tcPr>
          <w:p>
            <w:pPr>
              <w:pStyle w:val="Compact"/>
            </w:pPr>
            <w:r>
              <w:t xml:space="preserve">Specific year, cycle or period that the data represents (e.g. 2018, 2017-2024, days 1-10)</w:t>
            </w:r>
          </w:p>
        </w:tc>
      </w:tr>
      <w:tr>
        <w:tc>
          <w:tcPr/>
          <w:p>
            <w:pPr>
              <w:pStyle w:val="Compact"/>
            </w:pPr>
            <w:r>
              <w:t xml:space="preserve">Geometric resolution</w:t>
            </w:r>
          </w:p>
        </w:tc>
        <w:tc>
          <w:tcPr>
            <w:gridSpan w:val="2"/>
          </w:tcPr>
          <w:p>
            <w:pPr>
              <w:pStyle w:val="Compact"/>
            </w:pPr>
            <w:r>
              <w:t xml:space="preserve">Mapping scale of the vector data (e.g. scale of 1:10 000)</w:t>
            </w:r>
          </w:p>
        </w:tc>
      </w:tr>
      <w:tr>
        <w:tc>
          <w:tcPr/>
          <w:p>
            <w:pPr>
              <w:pStyle w:val="Compact"/>
            </w:pPr>
            <w:r>
              <w:t xml:space="preserve">Coordinate Reference System</w:t>
            </w:r>
          </w:p>
        </w:tc>
        <w:tc>
          <w:tcPr>
            <w:gridSpan w:val="2"/>
          </w:tcPr>
          <w:p>
            <w:pPr>
              <w:pStyle w:val="Compact"/>
            </w:pPr>
            <w:r>
              <w:t xml:space="preserve">Spatial reference system used (e.g. European ETRS89 LAEA projection/national projections)</w:t>
            </w:r>
          </w:p>
        </w:tc>
      </w:tr>
      <w:tr>
        <w:tc>
          <w:tcPr/>
          <w:p>
            <w:pPr>
              <w:pStyle w:val="Compact"/>
            </w:pPr>
            <w:r>
              <w:t xml:space="preserve">Coverage</w:t>
            </w:r>
          </w:p>
        </w:tc>
        <w:tc>
          <w:tcPr>
            <w:gridSpan w:val="2"/>
          </w:tcPr>
          <w:p>
            <w:pPr>
              <w:pStyle w:val="Compact"/>
            </w:pPr>
            <w:r>
              <w:t xml:space="preserve">Geographic area covered by the layer (and reference of EEA coverage) (e.g. EEA-38 + UK)</w:t>
            </w:r>
          </w:p>
        </w:tc>
      </w:tr>
      <w:tr>
        <w:tc>
          <w:tcPr/>
          <w:p>
            <w:pPr>
              <w:pStyle w:val="Compact"/>
            </w:pPr>
            <w:r>
              <w:t xml:space="preserve">Geometric accuracy</w:t>
            </w:r>
          </w:p>
        </w:tc>
        <w:tc>
          <w:tcPr>
            <w:gridSpan w:val="2"/>
          </w:tcPr>
          <w:p>
            <w:pPr>
              <w:pStyle w:val="Compact"/>
            </w:pPr>
            <w:r>
              <w:t xml:space="preserve">Positional accuracy of the layer, expressed in meters at a specific % confidence level (e.g. ~11m at 95.5% confidence)</w:t>
            </w:r>
          </w:p>
        </w:tc>
      </w:tr>
      <w:tr>
        <w:tc>
          <w:tcPr/>
          <w:p>
            <w:pPr>
              <w:pStyle w:val="Compact"/>
            </w:pPr>
            <w:r>
              <w:t xml:space="preserve">Thematic accuracy</w:t>
            </w:r>
          </w:p>
        </w:tc>
        <w:tc>
          <w:tcPr>
            <w:gridSpan w:val="2"/>
          </w:tcPr>
          <w:p>
            <w:pPr>
              <w:pStyle w:val="Compac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pPr>
            <w:r>
              <w:t xml:space="preserve">Minimum Mapping Unit (MMU)</w:t>
            </w:r>
          </w:p>
        </w:tc>
        <w:tc>
          <w:tcPr>
            <w:gridSpan w:val="2"/>
          </w:tcPr>
          <w:p>
            <w:pPr>
              <w:pStyle w:val="Compact"/>
            </w:pPr>
            <w:r>
              <w:t xml:space="preserve">Smallest area that is represented in the layer (e.g. 0.5 ha (50 pixels))</w:t>
            </w:r>
          </w:p>
        </w:tc>
      </w:tr>
      <w:tr>
        <w:tc>
          <w:tcPr/>
          <w:p>
            <w:pPr>
              <w:pStyle w:val="Compact"/>
            </w:pPr>
            <w:r>
              <w:t xml:space="preserve">Raster coding</w:t>
            </w:r>
          </w:p>
        </w:tc>
        <w:tc>
          <w:tcPr>
            <w:gridSpan w:val="2"/>
          </w:tcPr>
          <w:p>
            <w:pPr>
              <w:pStyle w:val="Compac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pPr>
            <w:r>
              <w:t xml:space="preserve">Metadata</w:t>
            </w:r>
          </w:p>
        </w:tc>
        <w:tc>
          <w:tcPr>
            <w:gridSpan w:val="2"/>
          </w:tcPr>
          <w:p>
            <w:pPr>
              <w:pStyle w:val="Compact"/>
            </w:pPr>
            <w:r>
              <w:t xml:space="preserve">Description of the accompanying metadata, including its format and content (e.g. XML metadata files compliant with INSPIRE metadata standards)</w:t>
            </w:r>
          </w:p>
        </w:tc>
      </w:tr>
      <w:tr>
        <w:tc>
          <w:tcPr/>
          <w:p>
            <w:pPr>
              <w:pStyle w:val="Compact"/>
            </w:pPr>
            <w:r>
              <w:t xml:space="preserve">Delivery format</w:t>
            </w:r>
          </w:p>
        </w:tc>
        <w:tc>
          <w:tcPr>
            <w:gridSpan w:val="2"/>
          </w:tcPr>
          <w:p>
            <w:pPr>
              <w:pStyle w:val="Compact"/>
            </w:pPr>
            <w:r>
              <w:t xml:space="preserve">File format in which layer is delivered (e.g. GeoTiff)</w:t>
            </w:r>
          </w:p>
        </w:tc>
      </w:tr>
      <w:tr>
        <w:tc>
          <w:tcPr/>
          <w:p>
            <w:pPr>
              <w:pStyle w:val="Compact"/>
            </w:pPr>
            <w:r>
              <w:t xml:space="preserve">Quality - Production verification</w:t>
            </w:r>
          </w:p>
        </w:tc>
        <w:tc>
          <w:tcPr>
            <w:gridSpan w:val="2"/>
          </w:tcPr>
          <w:p>
            <w:pPr>
              <w:pStyle w:val="Compact"/>
            </w:pPr>
            <w:r>
              <w:t xml:space="preserve">Quality statement of the layer detailing the results of production verification: user's/producer's or/and overall quality of the layer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pStyle w:val="yellow-box"/>
        <w:numPr>
          <w:ilvl w:val="0"/>
          <w:numId w:val="1010"/>
        </w:numPr>
      </w:pPr>
      <w:r>
        <w:t xml:space="preserve">Temporal and spatial resolution</w:t>
      </w:r>
    </w:p>
    <w:p>
      <w:pPr>
        <w:pStyle w:val="yellow-box"/>
        <w:numPr>
          <w:ilvl w:val="0"/>
          <w:numId w:val="1010"/>
        </w:numPr>
      </w:pPr>
      <w:r>
        <w:t xml:space="preserve">Data accuracy and validation</w:t>
      </w:r>
    </w:p>
    <w:p>
      <w:pPr>
        <w:pStyle w:val="yellow-box"/>
        <w:numPr>
          <w:ilvl w:val="0"/>
          <w:numId w:val="1010"/>
        </w:numPr>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7"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4"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the following:</w:t>
      </w:r>
    </w:p>
    <w:p>
      <w:pPr>
        <w:pStyle w:val="grey-box"/>
      </w:pPr>
      <w:r>
        <w:t xml:space="preserve">Free, full and open access to the products and services of the Copernicus Land Monitoring Service is made on the conditions that:</w:t>
      </w:r>
    </w:p>
    <w:p>
      <w:pPr>
        <w:pStyle w:val="grey-box"/>
        <w:numPr>
          <w:ilvl w:val="0"/>
          <w:numId w:val="1011"/>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pStyle w:val="grey-box"/>
        <w:numPr>
          <w:ilvl w:val="0"/>
          <w:numId w:val="1011"/>
        </w:numPr>
      </w:pPr>
      <w:r>
        <w:t xml:space="preserve">Where the Copernicus Land Monitoring Service products and services have been adapted or modified by the user, the user shall clearly state this.</w:t>
      </w:r>
    </w:p>
    <w:p>
      <w:pPr>
        <w:pStyle w:val="grey-box"/>
        <w:numPr>
          <w:ilvl w:val="0"/>
          <w:numId w:val="1011"/>
        </w:numPr>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p>
    <w:p>
      <w:pPr>
        <w:pStyle w:val="grey-box"/>
      </w:pPr>
      <w:hyperlink r:id="rId43">
        <w:r>
          <w:rPr>
            <w:rStyle w:val="Hyperlink"/>
          </w:rPr>
          <w:t xml:space="preserve">Copernicus Land Monitoring Service - Data policy</w:t>
        </w:r>
      </w:hyperlink>
    </w:p>
    <w:bookmarkEnd w:id="44"/>
    <w:bookmarkStart w:id="45"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
          <w:bCs/>
        </w:rPr>
        <w:t xml:space="preserve">planning to publish a publication (scientific, commercial, etc.)</w:t>
      </w:r>
      <w:r>
        <w:t xml:space="preserve">, it shall explicitly mention:</w:t>
      </w:r>
    </w:p>
    <w:p>
      <w:pPr>
        <w:pStyle w:val="BlockText"/>
      </w:pPr>
      <w:r>
        <w:t xml:space="preserve">“This publication has been prepared using European Union's Copernicus Land Monitoring Service information; &lt;insert all relevant DOI links here, if applicable&gt;”</w:t>
      </w:r>
    </w:p>
    <w:p>
      <w:pPr>
        <w:pStyle w:val="grey-box"/>
      </w:pPr>
      <w:r>
        <w:t xml:space="preserve">When developing a</w:t>
      </w:r>
      <w:r>
        <w:t xml:space="preserve"> </w:t>
      </w:r>
      <w:r>
        <w:rPr>
          <w:b/>
          <w:bCs/>
        </w:rPr>
        <w:t xml:space="preserve">product or service using the products or services of the Copernicus Land Monitoring Service</w:t>
      </w:r>
      <w:r>
        <w:t xml:space="preserve">, it should shall explicitly mention:</w:t>
      </w:r>
    </w:p>
    <w:p>
      <w:pPr>
        <w:pStyle w:val="BlockText"/>
      </w:pPr>
      <w:r>
        <w:t xml:space="preserve">“Generated using European Union's Copernicus Land Monitoring Service information; &lt;insert all relevant DOI links here, if applicable&gt;”</w:t>
      </w:r>
    </w:p>
    <w:p>
      <w:pPr>
        <w:pStyle w:val="grey-box"/>
      </w:pPr>
      <w:r>
        <w:t xml:space="preserve">When</w:t>
      </w:r>
      <w:r>
        <w:t xml:space="preserve"> </w:t>
      </w:r>
      <w:r>
        <w:rPr>
          <w:b/>
          <w:bCs/>
        </w:rPr>
        <w:t xml:space="preserve">redistributing a part of the Copernicus Land Monitoring Service (product, dataset, documentation, picture, web service, etc.)</w:t>
      </w:r>
      <w:r>
        <w:t xml:space="preserve">, it shall explicitly mention:</w:t>
      </w:r>
    </w:p>
    <w:p>
      <w:pPr>
        <w:pStyle w:val="BlockText"/>
      </w:pPr>
      <w:r>
        <w:t xml:space="preserve">“European Union's Copernicus Land Monitoring Service information; &lt;insert all relevant DOI links here, if applicable&gt;”</w:t>
      </w:r>
    </w:p>
    <w:p>
      <w:pPr>
        <w:pStyle w:val="FirstParagraph"/>
      </w:pPr>
      <w:hyperlink r:id="rId43">
        <w:r>
          <w:rPr>
            <w:rStyle w:val="Hyperlink"/>
          </w:rPr>
          <w:t xml:space="preserve">Copernicus Land Monitoring Service - Data policy</w:t>
        </w:r>
      </w:hyperlink>
    </w:p>
    <w:bookmarkEnd w:id="45"/>
    <w:bookmarkStart w:id="46"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w:t>
      </w:r>
      <w:r>
        <w:t xml:space="preserve"> </w:t>
      </w:r>
      <w:hyperlink r:id="rId43">
        <w:r>
          <w:rPr>
            <w:rStyle w:val="Hyperlink"/>
          </w:rPr>
          <w:t xml:space="preserve">Copernicus Land Monitoring Service – Service desk</w:t>
        </w:r>
      </w:hyperlink>
      <w:r>
        <w:t xml:space="preserve">.</w:t>
      </w:r>
      <w:r>
        <w:t xml:space="preserve"> </w:t>
      </w:r>
      <w:r>
        <w:t xml:space="preserve">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6"/>
    <w:bookmarkEnd w:id="47"/>
    <w:bookmarkStart w:id="48"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48"/>
    <w:bookmarkStart w:id="49"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ayout w:type="fixed"/>
        <w:tblLook w:firstRow="1" w:lastRow="0" w:firstColumn="0" w:lastColumn="0" w:noHBand="0" w:noVBand="0" w:val="0020"/>
      </w:tblPr>
      <w:tblGrid>
        <w:gridCol w:w="1564"/>
        <w:gridCol w:w="3813"/>
        <w:gridCol w:w="2346"/>
      </w:tblGrid>
      <w:tr>
        <w:trPr>
          <w:tblHeader w:val="on"/>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49"/>
    <w:bookmarkStart w:id="50"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0"/>
    <w:bookmarkStart w:id="51"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1"/>
    <w:bookmarkStart w:id="52"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202DD1E3"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sidR="00BA418C">
      <w:rPr>
        <w:rStyle w:val="SubtleReference"/>
        <w:rFonts w:ascii="Arial" w:hAnsi="Arial" w:cs="Arial"/>
        <w:b/>
        <w:bCs/>
      </w:rPr>
      <w:instrText xml:space="preserve"> \* MERGEFORMAT </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607A6"/>
    <w:rsid w:val="000D31C5"/>
    <w:rsid w:val="00401E27"/>
    <w:rsid w:val="00434BD5"/>
    <w:rsid w:val="004E30EF"/>
    <w:rsid w:val="00513AA9"/>
    <w:rsid w:val="006F6002"/>
    <w:rsid w:val="008768AF"/>
    <w:rsid w:val="009B7A02"/>
    <w:rsid w:val="009D4D90"/>
    <w:rsid w:val="00A607A6"/>
    <w:rsid w:val="00AA2A25"/>
    <w:rsid w:val="00BA418C"/>
    <w:rsid w:val="00C55705"/>
    <w:rsid w:val="00D113D9"/>
    <w:rsid w:val="00D549CB"/>
    <w:rsid w:val="00E8309D"/>
    <w:rsid w:val="00EB1C91"/>
    <w:rsid w:val="00F96CF8"/>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434BD5"/>
    <w:rPr>
      <w:rFonts w:ascii="Arial" w:cstheme="majorBidi" w:eastAsiaTheme="majorEastAsia" w:hAnsi="Arial"/>
      <w:color w:val="004494"/>
      <w:spacing w:val="-10"/>
      <w:kern w:val="2"/>
      <w:sz w:val="56"/>
      <w:szCs w:val="56"/>
    </w:rPr>
  </w:style>
  <w:style w:customStyle="1" w:styleId="SubtitleChar" w:type="character">
    <w:name w:val="Subtitle Char"/>
    <w:basedOn w:val="DefaultParagraphFont"/>
    <w:link w:val="Subtitle"/>
    <w:uiPriority w:val="11"/>
    <w:qFormat/>
    <w:rsid w:val="004E30EF"/>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434BD5"/>
    <w:pPr>
      <w:spacing w:after="1360"/>
      <w:contextualSpacing/>
      <w:jc w:val="left"/>
    </w:pPr>
    <w:rPr>
      <w:rFonts w:ascii="Arial" w:cstheme="majorBidi" w:eastAsiaTheme="majorEastAsia" w:hAnsi="Arial"/>
      <w:color w:val="004494"/>
      <w:spacing w:val="-10"/>
      <w:kern w:val="2"/>
      <w:sz w:val="56"/>
      <w:szCs w:val="56"/>
    </w:rPr>
  </w:style>
  <w:style w:styleId="Subtitle" w:type="paragraph">
    <w:name w:val="Subtitle"/>
    <w:basedOn w:val="Title"/>
    <w:next w:val="BodyText"/>
    <w:link w:val="SubtitleChar"/>
    <w:uiPriority w:val="11"/>
    <w:qFormat/>
    <w:rsid w:val="004E30EF"/>
    <w:rPr>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3"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3"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dc:description>Product DESCRIPTION</dc:description>
  <cp:keywords/>
  <dcterms:created xsi:type="dcterms:W3CDTF">2025-05-29T14:35:06Z</dcterms:created>
  <dcterms:modified xsi:type="dcterms:W3CDTF">2025-05-29T14:35:06Z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documentclass">
    <vt:lpwstr>scrartcl</vt:lpwstr>
  </property>
  <property fmtid="{D5CDD505-2E9C-101B-9397-08002B2CF9AE}" pid="6" name="format">
    <vt:lpwstr/>
  </property>
  <property fmtid="{D5CDD505-2E9C-101B-9397-08002B2CF9AE}" pid="7" name="header-includes">
    <vt:lpwstr/>
  </property>
  <property fmtid="{D5CDD505-2E9C-101B-9397-08002B2CF9AE}" pid="8" name="hidden">
    <vt:lpwstr>True</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umber-sections">
    <vt:lpwstr>True</vt:lpwstr>
  </property>
  <property fmtid="{D5CDD505-2E9C-101B-9397-08002B2CF9AE}" pid="14" name="product-name">
    <vt:lpwstr>Product Name</vt:lpwstr>
  </property>
  <property fmtid="{D5CDD505-2E9C-101B-9397-08002B2CF9AE}" pid="15" name="resources">
    <vt:lpwstr/>
  </property>
  <property fmtid="{D5CDD505-2E9C-101B-9397-08002B2CF9AE}" pid="16" name="sitemap">
    <vt:lpwstr>True</vt:lpwstr>
  </property>
  <property fmtid="{D5CDD505-2E9C-101B-9397-08002B2CF9AE}" pid="17" name="subtitle">
    <vt:lpwstr>PUM Copernicus Land Monitoring Service - Product full name</vt:lpwstr>
  </property>
  <property fmtid="{D5CDD505-2E9C-101B-9397-08002B2CF9AE}" pid="18" name="tbl-colwidths">
    <vt:lpwstr>auto</vt:lpwstr>
  </property>
  <property fmtid="{D5CDD505-2E9C-101B-9397-08002B2CF9AE}" pid="19" name="template-version">
    <vt:lpwstr>1.0.0</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Issue x.y (“(x) version of the document” + “.”+ “(y) version of the document update”) (first published version must start with 1.0)</vt:lpwstr>
  </property>
</Properties>
</file>