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FEDE9" w14:textId="77777777" w:rsidR="00B6710D" w:rsidRDefault="00000000">
      <w:pPr>
        <w:spacing w:after="120"/>
      </w:pPr>
      <w:r>
        <w:rPr>
          <w:b/>
          <w:bCs/>
          <w:color w:val="1F3864"/>
          <w:sz w:val="40"/>
          <w:szCs w:val="40"/>
        </w:rPr>
        <w:t>Paper 3 — Literature Suggestions</w:t>
      </w:r>
    </w:p>
    <w:p w14:paraId="3C36D937" w14:textId="77777777" w:rsidR="00B6710D" w:rsidRDefault="00000000">
      <w:pPr>
        <w:spacing w:after="80"/>
      </w:pPr>
      <w:r>
        <w:rPr>
          <w:i/>
          <w:iCs/>
          <w:color w:val="404040"/>
          <w:sz w:val="26"/>
          <w:szCs w:val="26"/>
        </w:rPr>
        <w:t>Human Capital Accumulation in Response to Income Shocks</w:t>
      </w:r>
    </w:p>
    <w:p w14:paraId="1F37D718" w14:textId="77777777" w:rsidR="00B6710D" w:rsidRDefault="00000000">
      <w:pPr>
        <w:spacing w:after="400"/>
      </w:pPr>
      <w:r>
        <w:rPr>
          <w:color w:val="808080"/>
          <w:sz w:val="22"/>
          <w:szCs w:val="22"/>
        </w:rPr>
        <w:t xml:space="preserve">Prepared: April 2, </w:t>
      </w:r>
      <w:proofErr w:type="gramStart"/>
      <w:r>
        <w:rPr>
          <w:color w:val="808080"/>
          <w:sz w:val="22"/>
          <w:szCs w:val="22"/>
        </w:rPr>
        <w:t>2026  •</w:t>
      </w:r>
      <w:proofErr w:type="gramEnd"/>
      <w:r>
        <w:rPr>
          <w:color w:val="808080"/>
          <w:sz w:val="22"/>
          <w:szCs w:val="22"/>
        </w:rPr>
        <w:t xml:space="preserve">  For: Paper_3_Materials Submodule</w:t>
      </w:r>
    </w:p>
    <w:p w14:paraId="3C436B77" w14:textId="77777777" w:rsidR="00B6710D" w:rsidRDefault="00B6710D">
      <w:pPr>
        <w:pBdr>
          <w:bottom w:val="single" w:sz="4" w:space="1" w:color="CCCCCC"/>
        </w:pBdr>
        <w:spacing w:before="240" w:after="240"/>
      </w:pPr>
    </w:p>
    <w:p w14:paraId="017E9378" w14:textId="77777777" w:rsidR="00B6710D" w:rsidRDefault="00000000">
      <w:pPr>
        <w:pStyle w:val="Heading1"/>
      </w:pPr>
      <w:r>
        <w:rPr>
          <w:sz w:val="32"/>
          <w:szCs w:val="32"/>
        </w:rPr>
        <w:t>Overview</w:t>
      </w:r>
    </w:p>
    <w:p w14:paraId="6FEC10E6" w14:textId="77777777" w:rsidR="00B6710D" w:rsidRDefault="00000000">
      <w:pPr>
        <w:spacing w:after="160"/>
      </w:pPr>
      <w:r>
        <w:t>This document collects literature suggestions for Paper 3 (“Beaches or Books”), organized by how they would be cited in the paper. The core contribution of Paper 3 sits at the intersection of two strands: (1) how income shocks affect schooling investment, and (2) how sector-specific labor demand — particularly low-skill, service-sector demand — shapes human capital decisions at the household level.</w:t>
      </w:r>
    </w:p>
    <w:p w14:paraId="4E512B23" w14:textId="77777777" w:rsidR="00B6710D" w:rsidRDefault="00000000">
      <w:pPr>
        <w:spacing w:after="160"/>
      </w:pPr>
      <w:r>
        <w:t>The paper’s distinctive claim is that tourism is neither standard low-skill manufacturing (Atkin 2016) nor high-skill manufacturing (Heath &amp; Mobarak 2015) — it is a locally-consumed, geographically concentrated service sector with seasonal and informal labor demand characteristics that create both a budget-constraint relaxation channel (positive income effect) and an opportunity-cost channel (negative substitution effect). Your JSLC absence-reason variables — money, transport cost, uniform cost — are the empirical handle on which channel dominates and for whom.</w:t>
      </w:r>
    </w:p>
    <w:p w14:paraId="1AF0AC2B" w14:textId="77777777" w:rsidR="00B6710D" w:rsidRDefault="00B6710D"/>
    <w:p w14:paraId="1E09A7EB" w14:textId="77777777" w:rsidR="00B6710D" w:rsidRDefault="00B6710D">
      <w:pPr>
        <w:pBdr>
          <w:bottom w:val="single" w:sz="4" w:space="1" w:color="CCCCCC"/>
        </w:pBdr>
        <w:spacing w:before="240" w:after="240"/>
      </w:pPr>
    </w:p>
    <w:p w14:paraId="737BA1FB" w14:textId="77777777" w:rsidR="00B6710D" w:rsidRDefault="00000000">
      <w:pPr>
        <w:pStyle w:val="Heading1"/>
      </w:pPr>
      <w:r>
        <w:rPr>
          <w:sz w:val="32"/>
          <w:szCs w:val="32"/>
        </w:rPr>
        <w:t>1. Core Framework Papers</w:t>
      </w:r>
    </w:p>
    <w:p w14:paraId="6902228D" w14:textId="77777777" w:rsidR="00B6710D" w:rsidRDefault="00000000">
      <w:pPr>
        <w:spacing w:after="160"/>
      </w:pPr>
      <w:r>
        <w:t>These are already in your bibliography and anchor the theoretical model and empirical design. Brief notes are included on how to use each.</w:t>
      </w:r>
    </w:p>
    <w:p w14:paraId="11F46B8B" w14:textId="77777777" w:rsidR="00B6710D" w:rsidRDefault="00B6710D"/>
    <w:p w14:paraId="68CE71AF" w14:textId="77777777" w:rsidR="00B6710D" w:rsidRDefault="00000000">
      <w:pPr>
        <w:pStyle w:val="Heading2"/>
      </w:pPr>
      <w:proofErr w:type="gramStart"/>
      <w:r>
        <w:t>1.1  Shah</w:t>
      </w:r>
      <w:proofErr w:type="gramEnd"/>
      <w:r>
        <w:t xml:space="preserve"> &amp; Steinberg (2017)</w:t>
      </w:r>
    </w:p>
    <w:p w14:paraId="52EC3DA2" w14:textId="77777777" w:rsidR="00B6710D" w:rsidRDefault="00000000">
      <w:pPr>
        <w:spacing w:before="120" w:after="80"/>
        <w:ind w:left="720" w:hanging="720"/>
      </w:pPr>
      <w:r>
        <w:t>Shah, Manisha and Bryce Millett Steinberg (</w:t>
      </w:r>
      <w:r>
        <w:rPr>
          <w:b/>
          <w:bCs/>
        </w:rPr>
        <w:t>2017</w:t>
      </w:r>
      <w:r>
        <w:t xml:space="preserve">). “Drought of Opportunities: Contemporaneous and Long-Term Impacts of Rainfall Shocks on Human Capital.” </w:t>
      </w:r>
      <w:r>
        <w:rPr>
          <w:i/>
          <w:iCs/>
        </w:rPr>
        <w:t>Journal of Political Economy</w:t>
      </w:r>
      <w:r>
        <w:t>. Vol. 125, No. 2, pp. 527–561.</w:t>
      </w:r>
    </w:p>
    <w:p w14:paraId="4C0561BE" w14:textId="77777777" w:rsidR="00B6710D" w:rsidRDefault="00000000">
      <w:pPr>
        <w:spacing w:after="160"/>
      </w:pPr>
      <w:r>
        <w:rPr>
          <w:b/>
          <w:bCs/>
        </w:rPr>
        <w:t xml:space="preserve">How to use it: </w:t>
      </w:r>
      <w:r>
        <w:t xml:space="preserve">Primary methodological ancestor. Their theoretical model — opposing income and substitution effects, with the dominant channel varying by child age and credit market conditions — is your theoretical backbone. Key result: higher wages increase human capital investment in early life (in utero to age 2) but decrease it for school-aged children (5–16) as children switch out of school into productive work. Your paper applies this model to a service-sector tourism context. Cite in the introduction and </w:t>
      </w:r>
      <w:r>
        <w:lastRenderedPageBreak/>
        <w:t xml:space="preserve">empirical strategy section to motivate age-heterogeneous effects and the sign ambiguity of your </w:t>
      </w:r>
      <w:proofErr w:type="gramStart"/>
      <w:r>
        <w:t>reduced-form</w:t>
      </w:r>
      <w:proofErr w:type="gramEnd"/>
      <w:r>
        <w:t xml:space="preserve"> coefficient.</w:t>
      </w:r>
    </w:p>
    <w:p w14:paraId="05839377" w14:textId="77777777" w:rsidR="00B6710D" w:rsidRDefault="00B6710D"/>
    <w:p w14:paraId="23BCDCC0" w14:textId="77777777" w:rsidR="00B6710D" w:rsidRDefault="00000000">
      <w:pPr>
        <w:pStyle w:val="Heading2"/>
      </w:pPr>
      <w:proofErr w:type="gramStart"/>
      <w:r>
        <w:t>1.2  Atkin</w:t>
      </w:r>
      <w:proofErr w:type="gramEnd"/>
      <w:r>
        <w:t xml:space="preserve"> (2016)</w:t>
      </w:r>
    </w:p>
    <w:p w14:paraId="1F6D8526" w14:textId="77777777" w:rsidR="00B6710D" w:rsidRDefault="00000000">
      <w:pPr>
        <w:spacing w:before="120" w:after="80"/>
        <w:ind w:left="720" w:hanging="720"/>
      </w:pPr>
      <w:r>
        <w:t>Atkin, David (</w:t>
      </w:r>
      <w:r>
        <w:rPr>
          <w:b/>
          <w:bCs/>
        </w:rPr>
        <w:t>2016</w:t>
      </w:r>
      <w:r>
        <w:t xml:space="preserve">). “Endogenous Skill Acquisition and Export Manufacturing in Mexico.” </w:t>
      </w:r>
      <w:r>
        <w:rPr>
          <w:i/>
          <w:iCs/>
        </w:rPr>
        <w:t>American Economic Review</w:t>
      </w:r>
      <w:r>
        <w:t>. Vol. 106, No. 8, pp. 2046–2085.</w:t>
      </w:r>
    </w:p>
    <w:p w14:paraId="4799BCA6" w14:textId="77777777" w:rsidR="00B6710D" w:rsidRDefault="00000000">
      <w:pPr>
        <w:spacing w:after="160"/>
      </w:pPr>
      <w:r>
        <w:rPr>
          <w:b/>
          <w:bCs/>
        </w:rPr>
        <w:t xml:space="preserve">How to use it: </w:t>
      </w:r>
      <w:r>
        <w:t>Second main ancestor. Atkin shows that expansion of low-skill export manufacturing in Mexico reduced grade 9 attainment and increased school dropout for cohorts exposed to factory openings at age 16, driven by the opportunity cost channel. Your paper is a direct service-sector analog — does low-skill tourism employment attenuate schooling in the same way? Cite alongside Heath &amp; Mobarak (2015) to set up the theoretical ambiguity your paper resolves empirically. Particularly relevant for the discussion of transitions at school-leaving ages (</w:t>
      </w:r>
      <w:proofErr w:type="spellStart"/>
      <w:r>
        <w:t>primary→secondary</w:t>
      </w:r>
      <w:proofErr w:type="spellEnd"/>
      <w:r>
        <w:t xml:space="preserve">, </w:t>
      </w:r>
      <w:proofErr w:type="spellStart"/>
      <w:r>
        <w:t>secondary→tertiary</w:t>
      </w:r>
      <w:proofErr w:type="spellEnd"/>
      <w:r>
        <w:t>).</w:t>
      </w:r>
    </w:p>
    <w:p w14:paraId="6FE70ED5" w14:textId="77777777" w:rsidR="00B6710D" w:rsidRDefault="00B6710D"/>
    <w:p w14:paraId="0E30FC1D" w14:textId="77777777" w:rsidR="00B6710D" w:rsidRDefault="00B6710D">
      <w:pPr>
        <w:pBdr>
          <w:bottom w:val="single" w:sz="4" w:space="1" w:color="CCCCCC"/>
        </w:pBdr>
        <w:spacing w:before="240" w:after="240"/>
      </w:pPr>
    </w:p>
    <w:p w14:paraId="0844AC65" w14:textId="77777777" w:rsidR="00B6710D" w:rsidRDefault="00000000">
      <w:pPr>
        <w:pStyle w:val="Heading1"/>
      </w:pPr>
      <w:r>
        <w:rPr>
          <w:sz w:val="32"/>
          <w:szCs w:val="32"/>
        </w:rPr>
        <w:t>2. Recent Papers (2020–2024) — Directly Citable</w:t>
      </w:r>
    </w:p>
    <w:p w14:paraId="4D965996" w14:textId="77777777" w:rsidR="00B6710D" w:rsidRDefault="00000000">
      <w:pPr>
        <w:spacing w:after="160"/>
      </w:pPr>
      <w:r>
        <w:t>These papers cite Shah &amp; Steinberg (2017) and/or Atkin (2016) and are recent enough to demonstrate engagement with the current frontier. Listed in recommended citation order.</w:t>
      </w:r>
    </w:p>
    <w:p w14:paraId="1BF7A07E" w14:textId="77777777" w:rsidR="00B6710D" w:rsidRDefault="00B6710D"/>
    <w:p w14:paraId="05D4C2D1" w14:textId="77777777" w:rsidR="00B6710D" w:rsidRDefault="00000000">
      <w:pPr>
        <w:pStyle w:val="Heading2"/>
      </w:pPr>
      <w:proofErr w:type="gramStart"/>
      <w:r>
        <w:t>2.1  Beshir</w:t>
      </w:r>
      <w:proofErr w:type="gramEnd"/>
      <w:r>
        <w:t xml:space="preserve"> &amp; </w:t>
      </w:r>
      <w:proofErr w:type="spellStart"/>
      <w:r>
        <w:t>Maystadt</w:t>
      </w:r>
      <w:proofErr w:type="spellEnd"/>
      <w:r>
        <w:t xml:space="preserve"> (</w:t>
      </w:r>
      <w:proofErr w:type="gramStart"/>
      <w:r>
        <w:t>2024) —</w:t>
      </w:r>
      <w:proofErr w:type="gramEnd"/>
      <w:r>
        <w:t xml:space="preserve"> Highest Priority</w:t>
      </w:r>
    </w:p>
    <w:p w14:paraId="4E427283" w14:textId="77777777" w:rsidR="00B6710D" w:rsidRDefault="00000000">
      <w:pPr>
        <w:spacing w:before="120" w:after="80"/>
        <w:ind w:left="720" w:hanging="720"/>
      </w:pPr>
      <w:r>
        <w:t xml:space="preserve">Beshir, Habtamu Ali and Jean-François </w:t>
      </w:r>
      <w:proofErr w:type="spellStart"/>
      <w:r>
        <w:t>Maystadt</w:t>
      </w:r>
      <w:proofErr w:type="spellEnd"/>
      <w:r>
        <w:t xml:space="preserve"> (</w:t>
      </w:r>
      <w:r>
        <w:rPr>
          <w:b/>
          <w:bCs/>
        </w:rPr>
        <w:t>2024</w:t>
      </w:r>
      <w:r>
        <w:t xml:space="preserve">). “Price Shocks and Human Capital: Timing Matters.” </w:t>
      </w:r>
      <w:r>
        <w:rPr>
          <w:i/>
          <w:iCs/>
        </w:rPr>
        <w:t>Economic Development and Cultural Change</w:t>
      </w:r>
      <w:r>
        <w:t>. Vol. 72, No. 4, pp. 1567–1583.</w:t>
      </w:r>
    </w:p>
    <w:p w14:paraId="662FFA55" w14:textId="77777777" w:rsidR="00B6710D" w:rsidRDefault="00000000">
      <w:pPr>
        <w:spacing w:after="160"/>
      </w:pPr>
      <w:r>
        <w:rPr>
          <w:b/>
          <w:bCs/>
        </w:rPr>
        <w:t xml:space="preserve">Why it matters: </w:t>
      </w:r>
      <w:r>
        <w:t>The most directly citable recent paper in your literature. Uses cocoa price fluctuations in Ghana and finds that for school-aged children the substitution effect dominates — a price boom decreases current school attendance by 8.6 percentage points — while for pre-school-aged children the income effect dominates, improving cognitive scores and grade attainment. The age-heterogeneity finding directly maps onto the Shah &amp; Steinberg model and would motivate your age-stratified subsamples (5–24 for schooling outcomes, 15–64 for occupation outcomes). Closely related empirical design: commodity price variation as the shock, child-level schooling and cognitive data as the outcome.</w:t>
      </w:r>
    </w:p>
    <w:p w14:paraId="59A37A8D" w14:textId="77777777" w:rsidR="00B6710D" w:rsidRDefault="00000000">
      <w:pPr>
        <w:spacing w:after="160"/>
      </w:pPr>
      <w:r>
        <w:rPr>
          <w:b/>
          <w:bCs/>
        </w:rPr>
        <w:t xml:space="preserve">Placement: </w:t>
      </w:r>
      <w:r>
        <w:t>Literature review (income shocks and schooling), and in the heterogeneity discussion when presenting age-split results.</w:t>
      </w:r>
    </w:p>
    <w:p w14:paraId="6FA14DBC" w14:textId="77777777" w:rsidR="00B6710D" w:rsidRDefault="00B6710D"/>
    <w:p w14:paraId="1A300F53" w14:textId="77777777" w:rsidR="00B6710D" w:rsidRDefault="00000000">
      <w:pPr>
        <w:pStyle w:val="Heading2"/>
      </w:pPr>
      <w:proofErr w:type="gramStart"/>
      <w:r>
        <w:t>2.2  Carrillo</w:t>
      </w:r>
      <w:proofErr w:type="gramEnd"/>
      <w:r>
        <w:t xml:space="preserve"> (</w:t>
      </w:r>
      <w:proofErr w:type="gramStart"/>
      <w:r>
        <w:t>2020) —</w:t>
      </w:r>
      <w:proofErr w:type="gramEnd"/>
      <w:r>
        <w:t xml:space="preserve"> Long-Run Framing</w:t>
      </w:r>
    </w:p>
    <w:p w14:paraId="40C89787" w14:textId="77777777" w:rsidR="00B6710D" w:rsidRDefault="00000000">
      <w:pPr>
        <w:spacing w:before="120" w:after="80"/>
        <w:ind w:left="720" w:hanging="720"/>
      </w:pPr>
      <w:r>
        <w:t>Carrillo, Bladimir (</w:t>
      </w:r>
      <w:r>
        <w:rPr>
          <w:b/>
          <w:bCs/>
        </w:rPr>
        <w:t>2020</w:t>
      </w:r>
      <w:r>
        <w:t xml:space="preserve">). “Present Bias and Underinvestment in Education? Long-Run Effects of Childhood Exposure to Booms in Colombia.” </w:t>
      </w:r>
      <w:r>
        <w:rPr>
          <w:i/>
          <w:iCs/>
        </w:rPr>
        <w:t>Journal of Labor Economics</w:t>
      </w:r>
      <w:r>
        <w:t>. Vol. 38, No. 4, pp. 1127–1265.</w:t>
      </w:r>
    </w:p>
    <w:p w14:paraId="6A69EE9B" w14:textId="77777777" w:rsidR="00B6710D" w:rsidRDefault="00000000">
      <w:pPr>
        <w:spacing w:after="160"/>
      </w:pPr>
      <w:r>
        <w:rPr>
          <w:b/>
          <w:bCs/>
        </w:rPr>
        <w:t xml:space="preserve">Why it matters: </w:t>
      </w:r>
      <w:r>
        <w:t xml:space="preserve">Examines long-run impacts of positive income shocks (world coffee price booms) on Colombian schooling using a differences-in-differences design with municipality-level coffee cultivation interacted with world prices — structurally </w:t>
      </w:r>
      <w:proofErr w:type="gramStart"/>
      <w:r>
        <w:t>similar to</w:t>
      </w:r>
      <w:proofErr w:type="gramEnd"/>
      <w:r>
        <w:t xml:space="preserve"> your Bartik approach. Key finding: cohorts facing higher returns to coffee-related work during school-going years completed fewer years of schooling and had lower adult income, suggesting that leaving school during temporary booms results in significant long-term income loss consistent with present bias and inertia in schooling decisions. This is the “temporary shock, permanent consequence” story your paper may need to address, especially if your Bartik instrument captures boom years.</w:t>
      </w:r>
    </w:p>
    <w:p w14:paraId="7CF3A4F8" w14:textId="77777777" w:rsidR="00B6710D" w:rsidRDefault="00000000">
      <w:pPr>
        <w:spacing w:after="160"/>
      </w:pPr>
      <w:r>
        <w:rPr>
          <w:b/>
          <w:bCs/>
        </w:rPr>
        <w:t xml:space="preserve">Placement: </w:t>
      </w:r>
      <w:r>
        <w:t>Introduction and conclusion, when discussing policy implications of temporary tourism shocks for long-run human capital outcomes.</w:t>
      </w:r>
    </w:p>
    <w:p w14:paraId="2A0CB72E" w14:textId="77777777" w:rsidR="00B6710D" w:rsidRDefault="00B6710D"/>
    <w:p w14:paraId="44DC2791" w14:textId="77777777" w:rsidR="00B6710D" w:rsidRDefault="00000000">
      <w:pPr>
        <w:pStyle w:val="Heading2"/>
      </w:pPr>
      <w:proofErr w:type="gramStart"/>
      <w:r>
        <w:t>2.3  Bau</w:t>
      </w:r>
      <w:proofErr w:type="gramEnd"/>
      <w:r>
        <w:t xml:space="preserve">, </w:t>
      </w:r>
      <w:proofErr w:type="spellStart"/>
      <w:r>
        <w:t>Rotemberg</w:t>
      </w:r>
      <w:proofErr w:type="spellEnd"/>
      <w:r>
        <w:t>, Shah &amp; Steinberg (2020)</w:t>
      </w:r>
    </w:p>
    <w:p w14:paraId="4CE6C6EF" w14:textId="77777777" w:rsidR="00B6710D" w:rsidRDefault="00000000">
      <w:pPr>
        <w:spacing w:before="120" w:after="80"/>
        <w:ind w:left="720" w:hanging="720"/>
      </w:pPr>
      <w:r>
        <w:t>Bau, Natalie, Martin Rotemberg, Manisha Shah, and Bryce Steinberg (</w:t>
      </w:r>
      <w:r>
        <w:rPr>
          <w:b/>
          <w:bCs/>
        </w:rPr>
        <w:t>2020</w:t>
      </w:r>
      <w:r>
        <w:t xml:space="preserve">). “Human Capital Investment in the Presence of Child Labor.” </w:t>
      </w:r>
      <w:r>
        <w:rPr>
          <w:i/>
          <w:iCs/>
        </w:rPr>
        <w:t>NBER Working Paper No. 27241</w:t>
      </w:r>
      <w:r>
        <w:t>.</w:t>
      </w:r>
    </w:p>
    <w:p w14:paraId="4C6A8FD2" w14:textId="77777777" w:rsidR="00B6710D" w:rsidRDefault="00000000">
      <w:pPr>
        <w:spacing w:after="160"/>
      </w:pPr>
      <w:r>
        <w:rPr>
          <w:b/>
          <w:bCs/>
        </w:rPr>
        <w:t xml:space="preserve">Why it matters: </w:t>
      </w:r>
      <w:r>
        <w:t>Co-authored by your primary ancestor (Shah &amp; Steinberg) and extends their model. Shows that increased early-life investment reduces schooling in districts with high child labor because better-endowed children become more productive workers, creating an endogenous tradeoff. Effects are intergenerational. For your paper, child labor is replaced by low-skill tourism-sector employment. Cite to show awareness of the broader mechanism debate and to motivate why you examine whether the sign of your effect varies by the intensity of household tourism employment.</w:t>
      </w:r>
    </w:p>
    <w:p w14:paraId="2F1C52B1" w14:textId="77777777" w:rsidR="00B6710D" w:rsidRDefault="00000000">
      <w:pPr>
        <w:spacing w:after="160"/>
      </w:pPr>
      <w:r>
        <w:rPr>
          <w:b/>
          <w:bCs/>
        </w:rPr>
        <w:t xml:space="preserve">Placement: </w:t>
      </w:r>
      <w:r>
        <w:t>Mechanism discussion and heterogeneity section (households with vs. without members in tourism employment).</w:t>
      </w:r>
    </w:p>
    <w:p w14:paraId="6C9D1D40" w14:textId="77777777" w:rsidR="00B6710D" w:rsidRDefault="00B6710D"/>
    <w:p w14:paraId="62780EFE" w14:textId="77777777" w:rsidR="00B6710D" w:rsidRDefault="00000000">
      <w:pPr>
        <w:pStyle w:val="Heading2"/>
      </w:pPr>
      <w:proofErr w:type="gramStart"/>
      <w:r>
        <w:t>2.4  Cai</w:t>
      </w:r>
      <w:proofErr w:type="gramEnd"/>
      <w:r>
        <w:t>, Shi &amp; Xu (2024)</w:t>
      </w:r>
    </w:p>
    <w:p w14:paraId="32E41219" w14:textId="77777777" w:rsidR="00B6710D" w:rsidRDefault="00000000">
      <w:pPr>
        <w:spacing w:before="120" w:after="80"/>
        <w:ind w:left="720" w:hanging="720"/>
      </w:pPr>
      <w:r>
        <w:t xml:space="preserve">Cai, Shu, </w:t>
      </w:r>
      <w:proofErr w:type="spellStart"/>
      <w:r>
        <w:t>Xinzheng</w:t>
      </w:r>
      <w:proofErr w:type="spellEnd"/>
      <w:r>
        <w:t xml:space="preserve"> Shi, and </w:t>
      </w:r>
      <w:proofErr w:type="spellStart"/>
      <w:r>
        <w:t>Zhufeng</w:t>
      </w:r>
      <w:proofErr w:type="spellEnd"/>
      <w:r>
        <w:t xml:space="preserve"> Xu (</w:t>
      </w:r>
      <w:r>
        <w:rPr>
          <w:b/>
          <w:bCs/>
        </w:rPr>
        <w:t>2024</w:t>
      </w:r>
      <w:r>
        <w:t xml:space="preserve">). “Migration Networks, Export Shocks, and Human Capital Acquisition: Evidence from China.” </w:t>
      </w:r>
      <w:r>
        <w:rPr>
          <w:i/>
          <w:iCs/>
        </w:rPr>
        <w:t>Journal of Comparative Economics</w:t>
      </w:r>
      <w:r>
        <w:t>. Vol. 52, No. 2, pp. 568–589.</w:t>
      </w:r>
    </w:p>
    <w:p w14:paraId="72970B2B" w14:textId="77777777" w:rsidR="00B6710D" w:rsidRDefault="00000000">
      <w:pPr>
        <w:spacing w:after="160"/>
      </w:pPr>
      <w:r>
        <w:rPr>
          <w:b/>
          <w:bCs/>
        </w:rPr>
        <w:t xml:space="preserve">Why it matters: </w:t>
      </w:r>
      <w:r>
        <w:t xml:space="preserve">Very recent paper using export shocks (Bartik-style identification, closely related to your empirical design) and finds effects on human capital acquisition in China. Demonstrates that the Bartik shift-share approach is current best practice for </w:t>
      </w:r>
      <w:r>
        <w:lastRenderedPageBreak/>
        <w:t>this type of question, lending credibility to your instrument. Also speaks to the generalizability of the income shocks–schooling relationship beyond agriculture and manufacturing.</w:t>
      </w:r>
    </w:p>
    <w:p w14:paraId="27945268" w14:textId="77777777" w:rsidR="00B6710D" w:rsidRDefault="00000000">
      <w:pPr>
        <w:spacing w:after="160"/>
      </w:pPr>
      <w:r>
        <w:rPr>
          <w:b/>
          <w:bCs/>
        </w:rPr>
        <w:t xml:space="preserve">Placement: </w:t>
      </w:r>
      <w:r>
        <w:t>Empirical strategy section, when justifying the Bartik instrument.</w:t>
      </w:r>
    </w:p>
    <w:p w14:paraId="002A14E9" w14:textId="77777777" w:rsidR="00B6710D" w:rsidRDefault="00B6710D"/>
    <w:p w14:paraId="6970D9CD" w14:textId="77777777" w:rsidR="00B6710D" w:rsidRDefault="00B6710D">
      <w:pPr>
        <w:pBdr>
          <w:bottom w:val="single" w:sz="4" w:space="1" w:color="CCCCCC"/>
        </w:pBdr>
        <w:spacing w:before="240" w:after="240"/>
      </w:pPr>
    </w:p>
    <w:p w14:paraId="29607F4B" w14:textId="77777777" w:rsidR="00B6710D" w:rsidRDefault="00000000">
      <w:pPr>
        <w:pStyle w:val="Heading1"/>
      </w:pPr>
      <w:r>
        <w:rPr>
          <w:sz w:val="32"/>
          <w:szCs w:val="32"/>
        </w:rPr>
        <w:t xml:space="preserve">3. Key Comparison Papers (Establish Your Position in </w:t>
      </w:r>
      <w:proofErr w:type="gramStart"/>
      <w:r>
        <w:rPr>
          <w:sz w:val="32"/>
          <w:szCs w:val="32"/>
        </w:rPr>
        <w:t>the Literature</w:t>
      </w:r>
      <w:proofErr w:type="gramEnd"/>
      <w:r>
        <w:rPr>
          <w:sz w:val="32"/>
          <w:szCs w:val="32"/>
        </w:rPr>
        <w:t>)</w:t>
      </w:r>
    </w:p>
    <w:p w14:paraId="76001EBC" w14:textId="77777777" w:rsidR="00B6710D" w:rsidRDefault="00000000">
      <w:pPr>
        <w:spacing w:after="160"/>
      </w:pPr>
      <w:r>
        <w:t xml:space="preserve">These papers are essential for positioning your contribution. Your paper should explicitly locate itself between the negative effect (Atkin) and the positive effect (Heath &amp; Mobarak) </w:t>
      </w:r>
      <w:proofErr w:type="gramStart"/>
      <w:r>
        <w:t>stories, and</w:t>
      </w:r>
      <w:proofErr w:type="gramEnd"/>
      <w:r>
        <w:t xml:space="preserve"> explain why.</w:t>
      </w:r>
    </w:p>
    <w:p w14:paraId="7DA7FEDD" w14:textId="77777777" w:rsidR="00B6710D" w:rsidRDefault="00B6710D"/>
    <w:p w14:paraId="30E96C22" w14:textId="77777777" w:rsidR="00B6710D" w:rsidRDefault="00000000">
      <w:pPr>
        <w:pStyle w:val="Heading2"/>
      </w:pPr>
      <w:proofErr w:type="gramStart"/>
      <w:r>
        <w:t>3.1  Heath</w:t>
      </w:r>
      <w:proofErr w:type="gramEnd"/>
      <w:r>
        <w:t xml:space="preserve"> &amp; Mobarak (2015)</w:t>
      </w:r>
    </w:p>
    <w:p w14:paraId="05E613F8" w14:textId="77777777" w:rsidR="00B6710D" w:rsidRDefault="00000000">
      <w:pPr>
        <w:spacing w:before="120" w:after="80"/>
        <w:ind w:left="720" w:hanging="720"/>
      </w:pPr>
      <w:r>
        <w:t>Heath, Rachel and A. Mushfiq Mobarak (</w:t>
      </w:r>
      <w:r>
        <w:rPr>
          <w:b/>
          <w:bCs/>
        </w:rPr>
        <w:t>2015</w:t>
      </w:r>
      <w:r>
        <w:t xml:space="preserve">). “Manufacturing Growth and the Lives of Bangladeshi Women.” </w:t>
      </w:r>
      <w:r>
        <w:rPr>
          <w:i/>
          <w:iCs/>
        </w:rPr>
        <w:t>Journal of Development Economics</w:t>
      </w:r>
      <w:r>
        <w:t>. Vol. 115, pp. 1–15.</w:t>
      </w:r>
    </w:p>
    <w:p w14:paraId="6698CCBC" w14:textId="77777777" w:rsidR="00B6710D" w:rsidRDefault="00000000">
      <w:pPr>
        <w:spacing w:after="160"/>
      </w:pPr>
      <w:r>
        <w:rPr>
          <w:b/>
          <w:bCs/>
        </w:rPr>
        <w:t xml:space="preserve">Why it matters: </w:t>
      </w:r>
      <w:r>
        <w:t xml:space="preserve">The positive-demand-for-schooling counterpart to Atkin (2016). Garment sector growth in Bangladesh raised school enrollment for young girls because the jobs rewarded literacy and numeracy, so the return-to-schooling channel dominated. The contrast with Atkin is the key theoretical question your paper addresses: tourism is a low-skill service sector, but does it reward literacy (like garments) or not (like Mexican export manufacturing)? Your results on exam passage and </w:t>
      </w:r>
      <w:proofErr w:type="gramStart"/>
      <w:r>
        <w:t>years</w:t>
      </w:r>
      <w:proofErr w:type="gramEnd"/>
      <w:r>
        <w:t>-of-schooling will help answer this. Particularly relevant for the gender dimension: Heath &amp; Mobarak find effects concentrated among women, and tourism in Jamaica is female-intensive.</w:t>
      </w:r>
    </w:p>
    <w:p w14:paraId="0EF3389E" w14:textId="77777777" w:rsidR="00B6710D" w:rsidRDefault="00000000">
      <w:pPr>
        <w:spacing w:after="160"/>
      </w:pPr>
      <w:r>
        <w:rPr>
          <w:b/>
          <w:bCs/>
        </w:rPr>
        <w:t xml:space="preserve">Placement: </w:t>
      </w:r>
      <w:r>
        <w:t xml:space="preserve">Literature review, when setting up the theoretical ambiguity. Also in </w:t>
      </w:r>
      <w:proofErr w:type="gramStart"/>
      <w:r>
        <w:t>the conclusion</w:t>
      </w:r>
      <w:proofErr w:type="gramEnd"/>
      <w:r>
        <w:t>, when interpreting the direction of your results relative to the two canonical cases.</w:t>
      </w:r>
    </w:p>
    <w:p w14:paraId="23CFC397" w14:textId="77777777" w:rsidR="00B6710D" w:rsidRDefault="00B6710D"/>
    <w:p w14:paraId="748F488D" w14:textId="77777777" w:rsidR="00B6710D" w:rsidRDefault="00000000">
      <w:pPr>
        <w:pStyle w:val="Heading2"/>
      </w:pPr>
      <w:proofErr w:type="gramStart"/>
      <w:r>
        <w:t>3.2  Blanchard</w:t>
      </w:r>
      <w:proofErr w:type="gramEnd"/>
      <w:r>
        <w:t xml:space="preserve"> &amp; Olney (2017)</w:t>
      </w:r>
    </w:p>
    <w:p w14:paraId="37DF3B1D" w14:textId="77777777" w:rsidR="00B6710D" w:rsidRDefault="00000000">
      <w:pPr>
        <w:spacing w:before="120" w:after="80"/>
        <w:ind w:left="720" w:hanging="720"/>
      </w:pPr>
      <w:r>
        <w:t>Blanchard, Emily J. and William W. Olney (</w:t>
      </w:r>
      <w:r>
        <w:rPr>
          <w:b/>
          <w:bCs/>
        </w:rPr>
        <w:t>2017</w:t>
      </w:r>
      <w:r>
        <w:t xml:space="preserve">). “Globalization and Human Capital Investment: Export Composition Drives Educational Attainment.” </w:t>
      </w:r>
      <w:r>
        <w:rPr>
          <w:i/>
          <w:iCs/>
        </w:rPr>
        <w:t>Journal of International Economics</w:t>
      </w:r>
      <w:r>
        <w:t>. Vol. 106, pp. 165–183.</w:t>
      </w:r>
    </w:p>
    <w:p w14:paraId="09EBA4F9" w14:textId="77777777" w:rsidR="00B6710D" w:rsidRDefault="00000000">
      <w:pPr>
        <w:spacing w:after="160"/>
      </w:pPr>
      <w:r>
        <w:rPr>
          <w:b/>
          <w:bCs/>
        </w:rPr>
        <w:t xml:space="preserve">Why it matters: </w:t>
      </w:r>
      <w:r>
        <w:t xml:space="preserve">The theoretical bridge between Atkin and Heath &amp; Mobarak. Blanchard &amp; Olney show that the skill-intensity of export industries determines whether trade increases or decreases schooling — skill-intensive exports raise attainment while unskilled-intensive exports reduce it. This is the mechanism-level paper for why the </w:t>
      </w:r>
      <w:r>
        <w:lastRenderedPageBreak/>
        <w:t>composition of the tourism-sector labor demand in Jamaica matters for your results. If your heterogeneity cuts show larger negative effects in rural, informal tourism areas (lower skill intensity) and smaller or positive effects in formal hotel employment areas (higher skill intensity), Blanchard &amp; Olney is your theoretical anchor.</w:t>
      </w:r>
    </w:p>
    <w:p w14:paraId="3024AB57" w14:textId="77777777" w:rsidR="00B6710D" w:rsidRDefault="00000000">
      <w:pPr>
        <w:spacing w:after="160"/>
      </w:pPr>
      <w:r>
        <w:rPr>
          <w:b/>
          <w:bCs/>
        </w:rPr>
        <w:t xml:space="preserve">Placement: </w:t>
      </w:r>
      <w:r>
        <w:t>Literature review and mechanism discussion.</w:t>
      </w:r>
    </w:p>
    <w:p w14:paraId="09CDFC01" w14:textId="77777777" w:rsidR="00B6710D" w:rsidRDefault="00B6710D"/>
    <w:p w14:paraId="3E496C35" w14:textId="77777777" w:rsidR="00B6710D" w:rsidRDefault="00B6710D">
      <w:pPr>
        <w:pBdr>
          <w:bottom w:val="single" w:sz="4" w:space="1" w:color="CCCCCC"/>
        </w:pBdr>
        <w:spacing w:before="240" w:after="240"/>
      </w:pPr>
    </w:p>
    <w:p w14:paraId="21C90FC9" w14:textId="77777777" w:rsidR="00B6710D" w:rsidRDefault="00000000">
      <w:pPr>
        <w:pStyle w:val="Heading1"/>
      </w:pPr>
      <w:r>
        <w:rPr>
          <w:sz w:val="32"/>
          <w:szCs w:val="32"/>
        </w:rPr>
        <w:t>4. Additional Papers Worth Reviewing</w:t>
      </w:r>
    </w:p>
    <w:p w14:paraId="396F6664" w14:textId="77777777" w:rsidR="00B6710D" w:rsidRDefault="00000000">
      <w:pPr>
        <w:spacing w:after="160"/>
      </w:pPr>
      <w:r>
        <w:t xml:space="preserve">These papers are in the Shah &amp; Steinberg / Atkin citation network and worth reading to check for </w:t>
      </w:r>
      <w:proofErr w:type="gramStart"/>
      <w:r>
        <w:t>overlap</w:t>
      </w:r>
      <w:proofErr w:type="gramEnd"/>
      <w:r>
        <w:t xml:space="preserve"> or additional positioning before submission. Listed in priority order.</w:t>
      </w:r>
    </w:p>
    <w:p w14:paraId="01B7D20A" w14:textId="77777777" w:rsidR="00B6710D" w:rsidRDefault="00B6710D"/>
    <w:p w14:paraId="04017698" w14:textId="77777777" w:rsidR="00B6710D" w:rsidRDefault="00000000">
      <w:pPr>
        <w:pStyle w:val="ListParagraph"/>
        <w:numPr>
          <w:ilvl w:val="0"/>
          <w:numId w:val="2"/>
        </w:numPr>
      </w:pPr>
      <w:r>
        <w:rPr>
          <w:b/>
          <w:bCs/>
        </w:rPr>
        <w:t>Zimmermann (2020)</w:t>
      </w:r>
      <w:r>
        <w:rPr>
          <w:i/>
          <w:iCs/>
        </w:rPr>
        <w:t xml:space="preserve"> — “Remember When It Rained: Schooling Responses to Shocks in India.” World Development</w:t>
      </w:r>
      <w:r>
        <w:t xml:space="preserve">, Vol. 126. Finds </w:t>
      </w:r>
      <w:r>
        <w:rPr>
          <w:i/>
          <w:iCs/>
        </w:rPr>
        <w:t>countercyclical</w:t>
      </w:r>
      <w:r>
        <w:t xml:space="preserve"> schooling responses (children attend more during negative shocks) in contrast to Shah &amp; Steinberg. Useful for robustness framing — your results will likely differ from India’s agricultural context given Jamaica’s urban, service-sector setting.</w:t>
      </w:r>
    </w:p>
    <w:p w14:paraId="472F5819" w14:textId="77777777" w:rsidR="00B6710D" w:rsidRDefault="00000000">
      <w:pPr>
        <w:pStyle w:val="ListParagraph"/>
        <w:numPr>
          <w:ilvl w:val="0"/>
          <w:numId w:val="2"/>
        </w:numPr>
      </w:pPr>
      <w:r>
        <w:rPr>
          <w:b/>
          <w:bCs/>
        </w:rPr>
        <w:t>Saad &amp; Fallah (2020)</w:t>
      </w:r>
      <w:r>
        <w:rPr>
          <w:i/>
          <w:iCs/>
        </w:rPr>
        <w:t xml:space="preserve"> — “How Educational Choices Respond to Large Labor Market Shocks: Evidence from a Natural Experiment.” </w:t>
      </w:r>
      <w:proofErr w:type="spellStart"/>
      <w:r>
        <w:rPr>
          <w:i/>
          <w:iCs/>
        </w:rPr>
        <w:t>Labour</w:t>
      </w:r>
      <w:proofErr w:type="spellEnd"/>
      <w:r>
        <w:rPr>
          <w:i/>
          <w:iCs/>
        </w:rPr>
        <w:t xml:space="preserve"> Economics</w:t>
      </w:r>
      <w:r>
        <w:t xml:space="preserve">, Vol. 66. Appears in the Shah &amp; Steinberg citation network. Worth pulling the full paper to check empirical design </w:t>
      </w:r>
      <w:proofErr w:type="gramStart"/>
      <w:r>
        <w:t>overlap</w:t>
      </w:r>
      <w:proofErr w:type="gramEnd"/>
      <w:r>
        <w:t>.</w:t>
      </w:r>
    </w:p>
    <w:p w14:paraId="7E538E5C" w14:textId="77777777" w:rsidR="00B6710D" w:rsidRDefault="00000000">
      <w:pPr>
        <w:pStyle w:val="ListParagraph"/>
        <w:numPr>
          <w:ilvl w:val="0"/>
          <w:numId w:val="2"/>
        </w:numPr>
      </w:pPr>
      <w:r>
        <w:rPr>
          <w:b/>
          <w:bCs/>
        </w:rPr>
        <w:t>Bau (2021)</w:t>
      </w:r>
      <w:r>
        <w:rPr>
          <w:i/>
          <w:iCs/>
        </w:rPr>
        <w:t xml:space="preserve"> — “Using Heterogeneous Investment Incentives to Estimate the Human Capital Production Function.” Journal of Political Economy</w:t>
      </w:r>
      <w:r>
        <w:t>. Natalie Bau’s JPE paper on the production function of human capital accumulation. Relevant if you want to frame your estimates within a more structural model of investment.</w:t>
      </w:r>
    </w:p>
    <w:p w14:paraId="668967CA" w14:textId="77777777" w:rsidR="00B6710D" w:rsidRDefault="00000000">
      <w:pPr>
        <w:pStyle w:val="ListParagraph"/>
        <w:numPr>
          <w:ilvl w:val="0"/>
          <w:numId w:val="2"/>
        </w:numPr>
      </w:pPr>
      <w:r>
        <w:rPr>
          <w:b/>
          <w:bCs/>
        </w:rPr>
        <w:t xml:space="preserve">Beshir &amp; </w:t>
      </w:r>
      <w:proofErr w:type="spellStart"/>
      <w:r>
        <w:rPr>
          <w:b/>
          <w:bCs/>
        </w:rPr>
        <w:t>Maystadt</w:t>
      </w:r>
      <w:proofErr w:type="spellEnd"/>
      <w:r>
        <w:rPr>
          <w:b/>
          <w:bCs/>
        </w:rPr>
        <w:t xml:space="preserve"> (2022, LIDAM </w:t>
      </w:r>
      <w:proofErr w:type="gramStart"/>
      <w:r>
        <w:rPr>
          <w:b/>
          <w:bCs/>
        </w:rPr>
        <w:t>WP)</w:t>
      </w:r>
      <w:r>
        <w:t xml:space="preserve"> —</w:t>
      </w:r>
      <w:proofErr w:type="gramEnd"/>
      <w:r>
        <w:t xml:space="preserve"> Earlier working paper version of their 2024 EDCC paper. Useful if you want to cite the mechanism discussion in more detail than the published version allows.</w:t>
      </w:r>
    </w:p>
    <w:p w14:paraId="405FA0B3" w14:textId="77777777" w:rsidR="00B6710D" w:rsidRDefault="00000000">
      <w:pPr>
        <w:pStyle w:val="ListParagraph"/>
        <w:numPr>
          <w:ilvl w:val="0"/>
          <w:numId w:val="2"/>
        </w:numPr>
      </w:pPr>
      <w:r>
        <w:rPr>
          <w:b/>
          <w:bCs/>
        </w:rPr>
        <w:t>Shah &amp; Steinberg (2021)</w:t>
      </w:r>
      <w:r>
        <w:rPr>
          <w:i/>
          <w:iCs/>
        </w:rPr>
        <w:t xml:space="preserve"> — “Workfare and Human Capital Investment: Evidence from India.” Journal of Human Resources</w:t>
      </w:r>
      <w:r>
        <w:t xml:space="preserve">, Vol. 56, No. 2, pp. 380–405. Continuation of their human capital work. Shows that India’s NREGS workfare program crowded out schooling. Closely related to your channel: cash transfers relaxing budget constraints vs. employment </w:t>
      </w:r>
      <w:proofErr w:type="gramStart"/>
      <w:r>
        <w:t>opportunities</w:t>
      </w:r>
      <w:proofErr w:type="gramEnd"/>
      <w:r>
        <w:t xml:space="preserve"> raising opportunity costs.</w:t>
      </w:r>
    </w:p>
    <w:p w14:paraId="2FA4D795" w14:textId="77777777" w:rsidR="00B6710D" w:rsidRDefault="00000000">
      <w:pPr>
        <w:pStyle w:val="ListParagraph"/>
        <w:numPr>
          <w:ilvl w:val="0"/>
          <w:numId w:val="2"/>
        </w:numPr>
        <w:spacing w:after="240"/>
      </w:pPr>
      <w:r>
        <w:rPr>
          <w:b/>
          <w:bCs/>
        </w:rPr>
        <w:t>Freund, Favara, Porter &amp; Behrman (2023)</w:t>
      </w:r>
      <w:r>
        <w:rPr>
          <w:i/>
          <w:iCs/>
        </w:rPr>
        <w:t xml:space="preserve"> — “Social Protection and Foundational Cognitive Skills during Adolescence: Evidence from a Large Public Works Program.” World Bank Economic Review</w:t>
      </w:r>
      <w:r>
        <w:t xml:space="preserve">, Vol. 38, No. 2, pp. 296–318. Recent work on public works programs and cognitive skills in adolescence. Relevant </w:t>
      </w:r>
      <w:proofErr w:type="gramStart"/>
      <w:r>
        <w:t>for</w:t>
      </w:r>
      <w:proofErr w:type="gramEnd"/>
      <w:r>
        <w:t xml:space="preserve"> the policy conclusion on whether income transfers tied to tourism booms improve or worsen long-run skill formation.</w:t>
      </w:r>
    </w:p>
    <w:p w14:paraId="61EF3FD3" w14:textId="77777777" w:rsidR="00B6710D" w:rsidRDefault="00B6710D">
      <w:pPr>
        <w:pBdr>
          <w:bottom w:val="single" w:sz="4" w:space="1" w:color="CCCCCC"/>
        </w:pBdr>
        <w:spacing w:before="240" w:after="240"/>
      </w:pPr>
    </w:p>
    <w:p w14:paraId="3270738B" w14:textId="77777777" w:rsidR="00B6710D" w:rsidRDefault="00000000">
      <w:pPr>
        <w:pStyle w:val="Heading1"/>
      </w:pPr>
      <w:r>
        <w:rPr>
          <w:sz w:val="32"/>
          <w:szCs w:val="32"/>
        </w:rPr>
        <w:t xml:space="preserve">5. Your Specific Contribution to </w:t>
      </w:r>
      <w:proofErr w:type="gramStart"/>
      <w:r>
        <w:rPr>
          <w:sz w:val="32"/>
          <w:szCs w:val="32"/>
        </w:rPr>
        <w:t>the Literature</w:t>
      </w:r>
      <w:proofErr w:type="gramEnd"/>
    </w:p>
    <w:p w14:paraId="1F0D78EF" w14:textId="77777777" w:rsidR="00B6710D" w:rsidRDefault="00000000">
      <w:pPr>
        <w:spacing w:after="160"/>
      </w:pPr>
      <w:r>
        <w:t>The following framing may be useful when drafting the introduction and literature review sections.</w:t>
      </w:r>
    </w:p>
    <w:p w14:paraId="62E52FB4" w14:textId="77777777" w:rsidR="00B6710D" w:rsidRDefault="00B6710D"/>
    <w:p w14:paraId="0D640627" w14:textId="77777777" w:rsidR="00B6710D" w:rsidRDefault="00000000">
      <w:pPr>
        <w:spacing w:after="160"/>
      </w:pPr>
      <w:r>
        <w:rPr>
          <w:b/>
          <w:bCs/>
        </w:rPr>
        <w:t xml:space="preserve">Positioning statement: </w:t>
      </w:r>
      <w:r>
        <w:t xml:space="preserve">Paper 3 contributes to the literature on income shocks and human capital accumulation (Shah &amp; Steinberg 2017; Atkin 2016; Carrillo 2020; Beshir &amp; </w:t>
      </w:r>
      <w:proofErr w:type="spellStart"/>
      <w:r>
        <w:t>Maystadt</w:t>
      </w:r>
      <w:proofErr w:type="spellEnd"/>
      <w:r>
        <w:t xml:space="preserve"> 2024) by studying a service-sector tourism shock in a Caribbean small-island economy — a context largely absent from this literature, which has focused on agriculture (rainfall, commodity prices) and manufacturing (export-sector expansion).</w:t>
      </w:r>
    </w:p>
    <w:p w14:paraId="514CC003" w14:textId="77777777" w:rsidR="00B6710D" w:rsidRDefault="00000000">
      <w:pPr>
        <w:spacing w:after="160"/>
      </w:pPr>
      <w:r>
        <w:rPr>
          <w:b/>
          <w:bCs/>
        </w:rPr>
        <w:t>Three specific contributions:</w:t>
      </w:r>
    </w:p>
    <w:p w14:paraId="086F15A0" w14:textId="77777777" w:rsidR="00B6710D" w:rsidRDefault="00000000">
      <w:pPr>
        <w:pStyle w:val="ListParagraph"/>
        <w:numPr>
          <w:ilvl w:val="0"/>
          <w:numId w:val="2"/>
        </w:numPr>
      </w:pPr>
      <w:r>
        <w:rPr>
          <w:b/>
          <w:bCs/>
        </w:rPr>
        <w:t xml:space="preserve">Context: </w:t>
      </w:r>
      <w:r>
        <w:t>First paper to estimate the effect of tourism income shocks on household human capital investment using plausibly exogenous variation (Bartik shift-share instrument) in a tourism-dependent developing economy.</w:t>
      </w:r>
    </w:p>
    <w:p w14:paraId="289D4922" w14:textId="77777777" w:rsidR="00B6710D" w:rsidRDefault="00000000">
      <w:pPr>
        <w:pStyle w:val="ListParagraph"/>
        <w:numPr>
          <w:ilvl w:val="0"/>
          <w:numId w:val="2"/>
        </w:numPr>
      </w:pPr>
      <w:r>
        <w:rPr>
          <w:b/>
          <w:bCs/>
        </w:rPr>
        <w:t xml:space="preserve">Channels: </w:t>
      </w:r>
      <w:r>
        <w:t>Uniquely rich data on absence reasons (money, transport cost, uniform cost) allows direct measurement of the budget-constraint channel — relaxed by higher tourism income — which prior papers have had to infer indirectly.</w:t>
      </w:r>
    </w:p>
    <w:p w14:paraId="350B650F" w14:textId="77777777" w:rsidR="00B6710D" w:rsidRDefault="00000000">
      <w:pPr>
        <w:pStyle w:val="ListParagraph"/>
        <w:numPr>
          <w:ilvl w:val="0"/>
          <w:numId w:val="2"/>
        </w:numPr>
        <w:spacing w:after="240"/>
      </w:pPr>
      <w:r>
        <w:rPr>
          <w:b/>
          <w:bCs/>
        </w:rPr>
        <w:t xml:space="preserve">Heterogeneity: </w:t>
      </w:r>
      <w:r>
        <w:t>Dual household-level and development-area-level identification allows decomposition of aggregate effects into within-household income effects and local-labor-market opportunity-cost effects, speaking directly to the Shah &amp; Steinberg income-vs.-substitution debate.</w:t>
      </w:r>
    </w:p>
    <w:p w14:paraId="1130C3C6" w14:textId="77777777" w:rsidR="00B6710D" w:rsidRDefault="00B6710D">
      <w:pPr>
        <w:pBdr>
          <w:bottom w:val="single" w:sz="4" w:space="1" w:color="CCCCCC"/>
        </w:pBdr>
        <w:spacing w:before="240" w:after="240"/>
      </w:pPr>
    </w:p>
    <w:p w14:paraId="16D335CF" w14:textId="77777777" w:rsidR="00B6710D" w:rsidRDefault="00000000">
      <w:pPr>
        <w:spacing w:before="240"/>
      </w:pPr>
      <w:r>
        <w:rPr>
          <w:b/>
          <w:bCs/>
          <w:color w:val="606060"/>
          <w:sz w:val="20"/>
          <w:szCs w:val="20"/>
        </w:rPr>
        <w:t xml:space="preserve">Note: </w:t>
      </w:r>
      <w:r>
        <w:rPr>
          <w:color w:val="606060"/>
          <w:sz w:val="20"/>
          <w:szCs w:val="20"/>
        </w:rPr>
        <w:t>All papers listed include the citation information needed for LaTeX/</w:t>
      </w:r>
      <w:proofErr w:type="spellStart"/>
      <w:r>
        <w:rPr>
          <w:color w:val="606060"/>
          <w:sz w:val="20"/>
          <w:szCs w:val="20"/>
        </w:rPr>
        <w:t>BibTeX</w:t>
      </w:r>
      <w:proofErr w:type="spellEnd"/>
      <w:r>
        <w:rPr>
          <w:color w:val="606060"/>
          <w:sz w:val="20"/>
          <w:szCs w:val="20"/>
        </w:rPr>
        <w:t xml:space="preserve"> entry. Full bibliography management should be handled in the Paper_3_Materials submodule’s .bib file. For empirical design details on any paper, search the NBER or IDEAS/</w:t>
      </w:r>
      <w:proofErr w:type="spellStart"/>
      <w:r>
        <w:rPr>
          <w:color w:val="606060"/>
          <w:sz w:val="20"/>
          <w:szCs w:val="20"/>
        </w:rPr>
        <w:t>RePEC</w:t>
      </w:r>
      <w:proofErr w:type="spellEnd"/>
      <w:r>
        <w:rPr>
          <w:color w:val="606060"/>
          <w:sz w:val="20"/>
          <w:szCs w:val="20"/>
        </w:rPr>
        <w:t xml:space="preserve"> page.</w:t>
      </w:r>
    </w:p>
    <w:sectPr w:rsidR="00B671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D1ADF"/>
    <w:multiLevelType w:val="hybridMultilevel"/>
    <w:tmpl w:val="186C675E"/>
    <w:lvl w:ilvl="0" w:tplc="21C626C0">
      <w:start w:val="1"/>
      <w:numFmt w:val="decimal"/>
      <w:lvlText w:val="%1."/>
      <w:lvlJc w:val="left"/>
      <w:pPr>
        <w:spacing w:after="120"/>
        <w:ind w:left="720" w:hanging="360"/>
      </w:pPr>
    </w:lvl>
    <w:lvl w:ilvl="1" w:tplc="11123250">
      <w:numFmt w:val="decimal"/>
      <w:lvlText w:val=""/>
      <w:lvlJc w:val="left"/>
    </w:lvl>
    <w:lvl w:ilvl="2" w:tplc="7D582DE6">
      <w:numFmt w:val="decimal"/>
      <w:lvlText w:val=""/>
      <w:lvlJc w:val="left"/>
    </w:lvl>
    <w:lvl w:ilvl="3" w:tplc="2B782930">
      <w:numFmt w:val="decimal"/>
      <w:lvlText w:val=""/>
      <w:lvlJc w:val="left"/>
    </w:lvl>
    <w:lvl w:ilvl="4" w:tplc="8E4C7F14">
      <w:numFmt w:val="decimal"/>
      <w:lvlText w:val=""/>
      <w:lvlJc w:val="left"/>
    </w:lvl>
    <w:lvl w:ilvl="5" w:tplc="A5100012">
      <w:numFmt w:val="decimal"/>
      <w:lvlText w:val=""/>
      <w:lvlJc w:val="left"/>
    </w:lvl>
    <w:lvl w:ilvl="6" w:tplc="12F0C9BA">
      <w:numFmt w:val="decimal"/>
      <w:lvlText w:val=""/>
      <w:lvlJc w:val="left"/>
    </w:lvl>
    <w:lvl w:ilvl="7" w:tplc="6A06ED76">
      <w:numFmt w:val="decimal"/>
      <w:lvlText w:val=""/>
      <w:lvlJc w:val="left"/>
    </w:lvl>
    <w:lvl w:ilvl="8" w:tplc="49FCAA02">
      <w:numFmt w:val="decimal"/>
      <w:lvlText w:val=""/>
      <w:lvlJc w:val="left"/>
    </w:lvl>
  </w:abstractNum>
  <w:abstractNum w:abstractNumId="1" w15:restartNumberingAfterBreak="0">
    <w:nsid w:val="27326E52"/>
    <w:multiLevelType w:val="hybridMultilevel"/>
    <w:tmpl w:val="F09879E0"/>
    <w:lvl w:ilvl="0" w:tplc="19AAFD86">
      <w:start w:val="1"/>
      <w:numFmt w:val="bullet"/>
      <w:lvlText w:val="●"/>
      <w:lvlJc w:val="left"/>
      <w:pPr>
        <w:ind w:left="720" w:hanging="360"/>
      </w:pPr>
    </w:lvl>
    <w:lvl w:ilvl="1" w:tplc="A06830F2">
      <w:start w:val="1"/>
      <w:numFmt w:val="bullet"/>
      <w:lvlText w:val="○"/>
      <w:lvlJc w:val="left"/>
      <w:pPr>
        <w:ind w:left="1440" w:hanging="360"/>
      </w:pPr>
    </w:lvl>
    <w:lvl w:ilvl="2" w:tplc="029EB180">
      <w:start w:val="1"/>
      <w:numFmt w:val="bullet"/>
      <w:lvlText w:val="■"/>
      <w:lvlJc w:val="left"/>
      <w:pPr>
        <w:ind w:left="2160" w:hanging="360"/>
      </w:pPr>
    </w:lvl>
    <w:lvl w:ilvl="3" w:tplc="2E8AE746">
      <w:start w:val="1"/>
      <w:numFmt w:val="bullet"/>
      <w:lvlText w:val="●"/>
      <w:lvlJc w:val="left"/>
      <w:pPr>
        <w:ind w:left="2880" w:hanging="360"/>
      </w:pPr>
    </w:lvl>
    <w:lvl w:ilvl="4" w:tplc="F93C3B3C">
      <w:start w:val="1"/>
      <w:numFmt w:val="bullet"/>
      <w:lvlText w:val="○"/>
      <w:lvlJc w:val="left"/>
      <w:pPr>
        <w:ind w:left="3600" w:hanging="360"/>
      </w:pPr>
    </w:lvl>
    <w:lvl w:ilvl="5" w:tplc="F0CEA43C">
      <w:start w:val="1"/>
      <w:numFmt w:val="bullet"/>
      <w:lvlText w:val="■"/>
      <w:lvlJc w:val="left"/>
      <w:pPr>
        <w:ind w:left="4320" w:hanging="360"/>
      </w:pPr>
    </w:lvl>
    <w:lvl w:ilvl="6" w:tplc="2EFCE788">
      <w:start w:val="1"/>
      <w:numFmt w:val="bullet"/>
      <w:lvlText w:val="●"/>
      <w:lvlJc w:val="left"/>
      <w:pPr>
        <w:ind w:left="5040" w:hanging="360"/>
      </w:pPr>
    </w:lvl>
    <w:lvl w:ilvl="7" w:tplc="103C5102">
      <w:start w:val="1"/>
      <w:numFmt w:val="bullet"/>
      <w:lvlText w:val="●"/>
      <w:lvlJc w:val="left"/>
      <w:pPr>
        <w:ind w:left="5760" w:hanging="360"/>
      </w:pPr>
    </w:lvl>
    <w:lvl w:ilvl="8" w:tplc="0A7CA208">
      <w:start w:val="1"/>
      <w:numFmt w:val="bullet"/>
      <w:lvlText w:val="●"/>
      <w:lvlJc w:val="left"/>
      <w:pPr>
        <w:ind w:left="6480" w:hanging="360"/>
      </w:pPr>
    </w:lvl>
  </w:abstractNum>
  <w:num w:numId="1" w16cid:durableId="1538808170">
    <w:abstractNumId w:val="1"/>
    <w:lvlOverride w:ilvl="0">
      <w:startOverride w:val="1"/>
    </w:lvlOverride>
  </w:num>
  <w:num w:numId="2" w16cid:durableId="6557683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10D"/>
    <w:rsid w:val="00186A62"/>
    <w:rsid w:val="00360733"/>
    <w:rsid w:val="00B67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0D6A7"/>
  <w15:docId w15:val="{57B1330A-AEBE-4501-9575-E6A537EBF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60"/>
      <w:outlineLvl w:val="1"/>
    </w:pPr>
    <w:rPr>
      <w:b/>
      <w:bCs/>
      <w:color w:val="2E5496"/>
      <w:sz w:val="28"/>
      <w:szCs w:val="28"/>
    </w:rPr>
  </w:style>
  <w:style w:type="paragraph" w:styleId="Heading3">
    <w:name w:val="heading 3"/>
    <w:uiPriority w:val="9"/>
    <w:semiHidden/>
    <w:unhideWhenUsed/>
    <w:qFormat/>
    <w:pPr>
      <w:spacing w:before="200" w:after="120"/>
      <w:outlineLvl w:val="2"/>
    </w:pPr>
    <w:rPr>
      <w:b/>
      <w:bCs/>
      <w:i/>
      <w:i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1947</Words>
  <Characters>11104</Characters>
  <Application>Microsoft Office Word</Application>
  <DocSecurity>0</DocSecurity>
  <Lines>92</Lines>
  <Paragraphs>26</Paragraphs>
  <ScaleCrop>false</ScaleCrop>
  <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McKetty</cp:lastModifiedBy>
  <cp:revision>2</cp:revision>
  <dcterms:created xsi:type="dcterms:W3CDTF">2026-04-03T16:34:00Z</dcterms:created>
  <dcterms:modified xsi:type="dcterms:W3CDTF">2026-04-03T16:34:00Z</dcterms:modified>
</cp:coreProperties>
</file>