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DB24C" w14:textId="40E0452A" w:rsidR="00581340" w:rsidRPr="00333891" w:rsidRDefault="0035347A" w:rsidP="00333891">
      <w:pPr>
        <w:rPr>
          <w:b/>
          <w:bCs/>
        </w:rPr>
      </w:pPr>
      <w:r w:rsidRPr="00333891">
        <w:rPr>
          <w:b/>
          <w:bCs/>
        </w:rPr>
        <w:t>S</w:t>
      </w:r>
      <w:r w:rsidR="00810E64">
        <w:rPr>
          <w:b/>
          <w:bCs/>
        </w:rPr>
        <w:t>upplementary</w:t>
      </w:r>
      <w:r w:rsidRPr="00333891">
        <w:rPr>
          <w:b/>
          <w:bCs/>
        </w:rPr>
        <w:t xml:space="preserve"> Information</w:t>
      </w:r>
      <w:r w:rsidR="00752CAA" w:rsidRPr="00333891">
        <w:rPr>
          <w:b/>
          <w:bCs/>
        </w:rPr>
        <w:t xml:space="preserve"> </w:t>
      </w:r>
      <w:r w:rsidR="00752CAA" w:rsidRPr="00333891">
        <w:rPr>
          <w:rFonts w:asciiTheme="minorEastAsia" w:eastAsiaTheme="minorEastAsia" w:hAnsiTheme="minorEastAsia"/>
          <w:b/>
          <w:bCs/>
        </w:rPr>
        <w:t>for</w:t>
      </w:r>
      <w:r w:rsidR="00752CAA" w:rsidRPr="00333891">
        <w:rPr>
          <w:b/>
          <w:bCs/>
        </w:rPr>
        <w:t xml:space="preserve"> </w:t>
      </w:r>
    </w:p>
    <w:p w14:paraId="527DE161" w14:textId="77777777" w:rsidR="00581340" w:rsidRPr="00333891" w:rsidRDefault="00581340">
      <w:pPr>
        <w:rPr>
          <w:b/>
          <w:bCs/>
        </w:rPr>
      </w:pPr>
    </w:p>
    <w:p w14:paraId="423C22ED" w14:textId="77777777" w:rsidR="00581340" w:rsidRPr="00333891" w:rsidRDefault="0035347A" w:rsidP="00333891">
      <w:pPr>
        <w:spacing w:line="480" w:lineRule="auto"/>
        <w:jc w:val="both"/>
        <w:rPr>
          <w:rFonts w:cs="Times New Roman"/>
          <w:b/>
          <w:bCs/>
        </w:rPr>
      </w:pPr>
      <w:r w:rsidRPr="00333891">
        <w:rPr>
          <w:rFonts w:eastAsia="Times New Roman"/>
          <w:b/>
          <w:bCs/>
          <w:shd w:val="clear" w:color="auto" w:fill="FFFFFF"/>
          <w:lang w:eastAsia="zh-TW"/>
        </w:rPr>
        <w:t>Integrated Omics Analyses Reveal Differential Gene Expression and Potential for Cooperation Between Denitrifying Polyphosphate and Glycogen Accumulating Organisms</w:t>
      </w:r>
      <w:r w:rsidRPr="00333891">
        <w:rPr>
          <w:rFonts w:cs="Times New Roman"/>
          <w:b/>
          <w:bCs/>
        </w:rPr>
        <w:t xml:space="preserve"> </w:t>
      </w:r>
    </w:p>
    <w:p w14:paraId="1814AC07" w14:textId="77777777" w:rsidR="00581340" w:rsidRDefault="0035347A">
      <w:pPr>
        <w:spacing w:line="480" w:lineRule="auto"/>
        <w:jc w:val="center"/>
        <w:rPr>
          <w:rFonts w:cs="Times New Roman"/>
          <w:sz w:val="20"/>
          <w:szCs w:val="20"/>
          <w:vertAlign w:val="superscript"/>
        </w:rPr>
      </w:pPr>
      <w:r>
        <w:rPr>
          <w:rFonts w:cs="Times New Roman"/>
          <w:sz w:val="20"/>
          <w:szCs w:val="20"/>
        </w:rPr>
        <w:t>Yubo Wang</w:t>
      </w:r>
      <w:r>
        <w:rPr>
          <w:rFonts w:cs="Times New Roman"/>
          <w:sz w:val="20"/>
          <w:szCs w:val="20"/>
          <w:vertAlign w:val="superscript"/>
        </w:rPr>
        <w:t>1#</w:t>
      </w:r>
      <w:r>
        <w:rPr>
          <w:rFonts w:cs="Times New Roman"/>
          <w:sz w:val="20"/>
          <w:szCs w:val="20"/>
        </w:rPr>
        <w:t>, Han Gao</w:t>
      </w:r>
      <w:r>
        <w:rPr>
          <w:rFonts w:cs="Times New Roman"/>
          <w:sz w:val="20"/>
          <w:szCs w:val="20"/>
          <w:vertAlign w:val="superscript"/>
        </w:rPr>
        <w:t>1#</w:t>
      </w:r>
      <w:r>
        <w:rPr>
          <w:rFonts w:cs="Times New Roman"/>
          <w:sz w:val="20"/>
          <w:szCs w:val="20"/>
        </w:rPr>
        <w:t>, George Wells</w:t>
      </w:r>
      <w:r>
        <w:rPr>
          <w:rFonts w:cs="Times New Roman"/>
          <w:sz w:val="20"/>
          <w:szCs w:val="20"/>
          <w:vertAlign w:val="superscript"/>
        </w:rPr>
        <w:t>1*</w:t>
      </w:r>
    </w:p>
    <w:p w14:paraId="6C18386B" w14:textId="77777777" w:rsidR="00581340" w:rsidRDefault="0035347A">
      <w:pPr>
        <w:pStyle w:val="IWAAuthoraddress"/>
        <w:spacing w:line="480" w:lineRule="auto"/>
        <w:ind w:left="720"/>
        <w:rPr>
          <w:rFonts w:ascii="Times New Roman" w:hAnsi="Times New Roman" w:cs="Times New Roman"/>
          <w:sz w:val="20"/>
          <w:szCs w:val="20"/>
        </w:rPr>
      </w:pPr>
      <w:r>
        <w:rPr>
          <w:rFonts w:ascii="Times New Roman" w:hAnsi="Times New Roman" w:cs="Times New Roman"/>
          <w:sz w:val="20"/>
          <w:szCs w:val="20"/>
          <w:vertAlign w:val="superscript"/>
        </w:rPr>
        <w:t xml:space="preserve">1 </w:t>
      </w:r>
      <w:r>
        <w:rPr>
          <w:rFonts w:ascii="Times New Roman" w:hAnsi="Times New Roman" w:cs="Times New Roman"/>
          <w:sz w:val="20"/>
          <w:szCs w:val="20"/>
        </w:rPr>
        <w:t>Northwestern University, 2145 Sheridan Road, Evanston, IL, USA.</w:t>
      </w:r>
    </w:p>
    <w:p w14:paraId="783963B1" w14:textId="77777777" w:rsidR="00581340" w:rsidRDefault="0035347A">
      <w:pPr>
        <w:jc w:val="center"/>
        <w:rPr>
          <w:sz w:val="20"/>
          <w:szCs w:val="20"/>
          <w:lang w:val="en-GB" w:eastAsia="en-US"/>
        </w:rPr>
      </w:pPr>
      <w:r>
        <w:rPr>
          <w:sz w:val="20"/>
          <w:szCs w:val="20"/>
          <w:lang w:val="en-GB" w:eastAsia="en-US"/>
        </w:rPr>
        <w:t># These authors contributed equally</w:t>
      </w:r>
    </w:p>
    <w:p w14:paraId="4CB28332" w14:textId="77777777" w:rsidR="00581340" w:rsidRDefault="00581340">
      <w:pPr>
        <w:jc w:val="center"/>
        <w:rPr>
          <w:sz w:val="20"/>
          <w:szCs w:val="20"/>
        </w:rPr>
      </w:pPr>
    </w:p>
    <w:p w14:paraId="39CAA3B9" w14:textId="76CA3BDD" w:rsidR="00581340" w:rsidRPr="0065677D" w:rsidRDefault="0035347A" w:rsidP="00333891">
      <w:pPr>
        <w:pStyle w:val="IWAAuthoraddress"/>
        <w:spacing w:line="480" w:lineRule="auto"/>
      </w:pPr>
      <w:r>
        <w:rPr>
          <w:rFonts w:ascii="Times New Roman" w:hAnsi="Times New Roman" w:cs="Times New Roman"/>
          <w:sz w:val="20"/>
          <w:szCs w:val="20"/>
        </w:rPr>
        <w:t xml:space="preserve">*Email: </w:t>
      </w:r>
      <w:hyperlink r:id="rId8" w:history="1">
        <w:r>
          <w:rPr>
            <w:rStyle w:val="Hyperlink"/>
            <w:rFonts w:ascii="Times New Roman" w:hAnsi="Times New Roman"/>
            <w:color w:val="auto"/>
          </w:rPr>
          <w:t>george.wells@northwestern.edu</w:t>
        </w:r>
      </w:hyperlink>
      <w:r>
        <w:rPr>
          <w:rStyle w:val="Hyperlink"/>
          <w:rFonts w:ascii="Times New Roman" w:hAnsi="Times New Roman" w:cs="Times New Roman"/>
          <w:color w:val="auto"/>
        </w:rPr>
        <w:t xml:space="preserve">  </w:t>
      </w:r>
      <w:r>
        <w:rPr>
          <w:rFonts w:ascii="Times New Roman" w:hAnsi="Times New Roman" w:cs="Times New Roman"/>
          <w:sz w:val="20"/>
          <w:szCs w:val="20"/>
        </w:rPr>
        <w:t>Phone: +1-847-491-8794</w:t>
      </w:r>
    </w:p>
    <w:p w14:paraId="2DF7B092" w14:textId="77777777" w:rsidR="00581340" w:rsidRDefault="00581340">
      <w:pPr>
        <w:spacing w:line="480" w:lineRule="auto"/>
      </w:pPr>
    </w:p>
    <w:p w14:paraId="123DAC01" w14:textId="77777777" w:rsidR="00581340" w:rsidRDefault="00581340">
      <w:pPr>
        <w:spacing w:line="480" w:lineRule="auto"/>
        <w:sectPr w:rsidR="00581340">
          <w:pgSz w:w="12240" w:h="15840"/>
          <w:pgMar w:top="1440" w:right="1440" w:bottom="1440" w:left="1440" w:header="720" w:footer="720" w:gutter="0"/>
          <w:cols w:space="720"/>
          <w:docGrid w:linePitch="400"/>
        </w:sectPr>
      </w:pPr>
    </w:p>
    <w:p w14:paraId="67BFB1C2" w14:textId="6FDB0AE8" w:rsidR="00497209" w:rsidRPr="00333891" w:rsidRDefault="00497209" w:rsidP="00333891">
      <w:pPr>
        <w:spacing w:before="120" w:after="120" w:line="480" w:lineRule="auto"/>
        <w:rPr>
          <w:rFonts w:eastAsiaTheme="minorEastAsia" w:cs="Times New Roman"/>
          <w:b/>
        </w:rPr>
      </w:pPr>
      <w:r w:rsidRPr="00461D19">
        <w:rPr>
          <w:rFonts w:cs="Times New Roman"/>
          <w:b/>
        </w:rPr>
        <w:lastRenderedPageBreak/>
        <w:t xml:space="preserve">Supplementary Information – </w:t>
      </w:r>
      <w:r>
        <w:rPr>
          <w:rFonts w:cs="Times New Roman" w:hint="eastAsia"/>
          <w:b/>
        </w:rPr>
        <w:t>Results</w:t>
      </w:r>
    </w:p>
    <w:p w14:paraId="62FC6978" w14:textId="1201BD16" w:rsidR="00581340" w:rsidRDefault="0035347A">
      <w:pPr>
        <w:spacing w:after="120" w:line="480" w:lineRule="auto"/>
        <w:jc w:val="both"/>
        <w:rPr>
          <w:rFonts w:eastAsiaTheme="minorEastAsia"/>
          <w:i/>
          <w:iCs/>
        </w:rPr>
      </w:pPr>
      <w:r>
        <w:rPr>
          <w:rFonts w:eastAsiaTheme="minorEastAsia"/>
          <w:i/>
          <w:iCs/>
        </w:rPr>
        <w:t xml:space="preserve">Carbon and Energy Metabolism and Potential Metabolite Exchange among PAOs and Flanking </w:t>
      </w:r>
    </w:p>
    <w:p w14:paraId="086708E6" w14:textId="77777777" w:rsidR="00581340" w:rsidRDefault="0035347A">
      <w:pPr>
        <w:spacing w:after="120" w:line="480" w:lineRule="auto"/>
        <w:jc w:val="both"/>
        <w:rPr>
          <w:rFonts w:eastAsiaTheme="minorEastAsia"/>
          <w:i/>
          <w:iCs/>
        </w:rPr>
      </w:pPr>
      <w:r>
        <w:rPr>
          <w:rFonts w:eastAsiaTheme="minorEastAsia"/>
          <w:i/>
          <w:iCs/>
        </w:rPr>
        <w:t>Populations</w:t>
      </w:r>
      <w:r>
        <w:rPr>
          <w:i/>
        </w:rPr>
        <w:t xml:space="preserve"> </w:t>
      </w:r>
    </w:p>
    <w:p w14:paraId="73CD0D09" w14:textId="77777777" w:rsidR="00581340" w:rsidRDefault="0035347A">
      <w:pPr>
        <w:spacing w:before="120" w:after="120" w:line="480" w:lineRule="auto"/>
        <w:jc w:val="both"/>
      </w:pPr>
      <w:r>
        <w:t xml:space="preserve">Figure S3 shows the expression profiles of genes involved in the major carbon and energy metabolism across the six transcriptionally most active MAGs. Apart from their key functional role in </w:t>
      </w:r>
      <w:proofErr w:type="spellStart"/>
      <w:r>
        <w:t>polyP</w:t>
      </w:r>
      <w:proofErr w:type="spellEnd"/>
      <w:r>
        <w:t xml:space="preserve"> accumulation, as expected, genes involved in both the glycogen metabolism and the TCA cycle were annotated as being actively expressed in the three </w:t>
      </w:r>
      <w:r>
        <w:rPr>
          <w:iCs/>
        </w:rPr>
        <w:t>Accumulibacter</w:t>
      </w:r>
      <w:r>
        <w:t xml:space="preserve"> populations of clade IF, IC and IA. In addition, all three </w:t>
      </w:r>
      <w:r>
        <w:rPr>
          <w:iCs/>
        </w:rPr>
        <w:t>Accumulibacter</w:t>
      </w:r>
      <w:r>
        <w:rPr>
          <w:i/>
          <w:iCs/>
        </w:rPr>
        <w:t xml:space="preserve"> </w:t>
      </w:r>
      <w:r>
        <w:t>populations, especially Acc-IF, were identified as being dominant in the expression of genes involved in EPS synthesis (Figure S3), in type IV pilus biosynthesis (</w:t>
      </w:r>
      <w:proofErr w:type="spellStart"/>
      <w:r>
        <w:rPr>
          <w:i/>
          <w:iCs/>
        </w:rPr>
        <w:t>PilQ</w:t>
      </w:r>
      <w:proofErr w:type="spellEnd"/>
      <w:r>
        <w:rPr>
          <w:i/>
          <w:iCs/>
        </w:rPr>
        <w:t xml:space="preserve"> </w:t>
      </w:r>
      <w:r>
        <w:t>and</w:t>
      </w:r>
      <w:r>
        <w:rPr>
          <w:i/>
          <w:iCs/>
        </w:rPr>
        <w:t xml:space="preserve"> PilY1</w:t>
      </w:r>
      <w:r>
        <w:t xml:space="preserve">), in the biosynthesis of co-factors (e.g., biotin) and in the uptake of vitamin B12 (Figure S4). </w:t>
      </w:r>
    </w:p>
    <w:p w14:paraId="1C79F5ED" w14:textId="72D9A5C8" w:rsidR="004513D8" w:rsidRDefault="0035347A">
      <w:pPr>
        <w:spacing w:after="120" w:line="480" w:lineRule="auto"/>
        <w:ind w:firstLine="720"/>
        <w:jc w:val="both"/>
      </w:pPr>
      <w:r>
        <w:t>Among the three transcriptionally active non-PAO flanking populations,</w:t>
      </w:r>
      <w:r>
        <w:rPr>
          <w:i/>
          <w:iCs/>
        </w:rPr>
        <w:t xml:space="preserve"> </w:t>
      </w:r>
      <w:r>
        <w:t xml:space="preserve">GAO1 likely utilizes acetate and propionate as its primary carbon source; while the activity for the utilization of the primary carbon source (acetate and propionate) is limited for both CH7 and PR6, as indicated by the expression levels of the </w:t>
      </w:r>
      <w:proofErr w:type="spellStart"/>
      <w:r>
        <w:rPr>
          <w:i/>
          <w:iCs/>
        </w:rPr>
        <w:t>acs</w:t>
      </w:r>
      <w:proofErr w:type="spellEnd"/>
      <w:r>
        <w:t xml:space="preserve">, </w:t>
      </w:r>
      <w:proofErr w:type="spellStart"/>
      <w:r>
        <w:rPr>
          <w:i/>
          <w:iCs/>
        </w:rPr>
        <w:t>ackA</w:t>
      </w:r>
      <w:proofErr w:type="spellEnd"/>
      <w:r>
        <w:t xml:space="preserve"> and </w:t>
      </w:r>
      <w:proofErr w:type="spellStart"/>
      <w:r>
        <w:rPr>
          <w:i/>
          <w:iCs/>
        </w:rPr>
        <w:t>prpE</w:t>
      </w:r>
      <w:proofErr w:type="spellEnd"/>
      <w:r>
        <w:t xml:space="preserve"> genes. CH7 is apparently incapable of utilizing propionate, since no </w:t>
      </w:r>
      <w:proofErr w:type="spellStart"/>
      <w:r>
        <w:rPr>
          <w:i/>
          <w:iCs/>
        </w:rPr>
        <w:t>prpE</w:t>
      </w:r>
      <w:proofErr w:type="spellEnd"/>
      <w:r>
        <w:t xml:space="preserve"> gene was identified in its genome</w:t>
      </w:r>
      <w:r>
        <w:rPr>
          <w:rStyle w:val="CommentReference"/>
        </w:rPr>
        <w:t>.</w:t>
      </w:r>
      <w:r>
        <w:t xml:space="preserve"> CH7 and PR6 may probably scavenge extracellular substances (endogenous organic carbon) excreted by the PAO populations as their primary carbon source. As is summarized in Figure S4, ~88% of the </w:t>
      </w:r>
      <w:proofErr w:type="spellStart"/>
      <w:r>
        <w:rPr>
          <w:i/>
          <w:iCs/>
        </w:rPr>
        <w:t>vpr</w:t>
      </w:r>
      <w:proofErr w:type="spellEnd"/>
      <w:r>
        <w:t xml:space="preserve"> gene transcripts for extracellular protease were mapped to CH7, and ~84% gene transcripts for extracellular serine protease were associated with PR6. Both PR6 and CH7 expressed genes encoding glycoside hydrolases (</w:t>
      </w:r>
      <w:proofErr w:type="spellStart"/>
      <w:r>
        <w:t>xylosidase</w:t>
      </w:r>
      <w:proofErr w:type="spellEnd"/>
      <w:r>
        <w:t xml:space="preserve">, lysozyme, glucosidase, and </w:t>
      </w:r>
      <w:proofErr w:type="spellStart"/>
      <w:r>
        <w:t>isoamylase</w:t>
      </w:r>
      <w:proofErr w:type="spellEnd"/>
      <w:r>
        <w:t xml:space="preserve">) and extracellular cellulose binding enzymes that may be linked to the breakdown of polysaccharides such as </w:t>
      </w:r>
      <w:proofErr w:type="spellStart"/>
      <w:r>
        <w:t>xylan</w:t>
      </w:r>
      <w:proofErr w:type="spellEnd"/>
      <w:r>
        <w:t xml:space="preserve">, starch </w:t>
      </w:r>
      <w:r>
        <w:lastRenderedPageBreak/>
        <w:t xml:space="preserve">and peptidoglycan (Figure S5). In addition, the vitamin B12 transporter </w:t>
      </w:r>
      <w:proofErr w:type="spellStart"/>
      <w:r>
        <w:rPr>
          <w:i/>
          <w:iCs/>
        </w:rPr>
        <w:t>btuB</w:t>
      </w:r>
      <w:proofErr w:type="spellEnd"/>
      <w:r>
        <w:t xml:space="preserve"> gene and </w:t>
      </w:r>
      <w:proofErr w:type="spellStart"/>
      <w:r>
        <w:rPr>
          <w:i/>
          <w:iCs/>
        </w:rPr>
        <w:t>tonB</w:t>
      </w:r>
      <w:proofErr w:type="spellEnd"/>
      <w:r>
        <w:t xml:space="preserve"> gene were also highly expressed in PR6 (Figure S4); </w:t>
      </w:r>
      <w:proofErr w:type="spellStart"/>
      <w:r>
        <w:rPr>
          <w:i/>
          <w:iCs/>
        </w:rPr>
        <w:t>tonB</w:t>
      </w:r>
      <w:proofErr w:type="spellEnd"/>
      <w:r>
        <w:rPr>
          <w:i/>
          <w:iCs/>
        </w:rPr>
        <w:t xml:space="preserve"> </w:t>
      </w:r>
      <w:r>
        <w:t>was reported as being essential in importing essential micronutrients across the outer cell membrane (</w:t>
      </w:r>
      <w:proofErr w:type="spellStart"/>
      <w:r>
        <w:t>Shultis</w:t>
      </w:r>
      <w:proofErr w:type="spellEnd"/>
      <w:r>
        <w:t xml:space="preserve"> et al., 2006). Another set of genes that were transcriptionally highly active in PR6 was the </w:t>
      </w:r>
      <w:proofErr w:type="spellStart"/>
      <w:r>
        <w:rPr>
          <w:i/>
          <w:iCs/>
        </w:rPr>
        <w:t>PilQ</w:t>
      </w:r>
      <w:proofErr w:type="spellEnd"/>
      <w:r>
        <w:rPr>
          <w:i/>
          <w:iCs/>
        </w:rPr>
        <w:t xml:space="preserve"> </w:t>
      </w:r>
      <w:r>
        <w:t>and</w:t>
      </w:r>
      <w:r>
        <w:rPr>
          <w:i/>
          <w:iCs/>
        </w:rPr>
        <w:t xml:space="preserve"> PilY1</w:t>
      </w:r>
      <w:r>
        <w:t xml:space="preserve">, which two are involved in the type IV pili biosynthesis. </w:t>
      </w:r>
      <w:r w:rsidRPr="00333891">
        <w:t>The role of type IV pili in promoting biofilm formation has been reported in archaea (</w:t>
      </w:r>
      <w:proofErr w:type="spellStart"/>
      <w:r w:rsidRPr="00333891">
        <w:fldChar w:fldCharType="begin"/>
      </w:r>
      <w:r w:rsidRPr="00333891">
        <w:instrText xml:space="preserve"> HYPERLINK "https://www.ncbi.nlm.nih.gov/pubmed/?term=Pohlschroder%20M%5BAuthor%5D&amp;cauthor=true&amp;cauthor_uid=25852657" </w:instrText>
      </w:r>
      <w:r w:rsidRPr="00333891">
        <w:fldChar w:fldCharType="separate"/>
      </w:r>
      <w:r w:rsidRPr="00333891">
        <w:t>Mechthild</w:t>
      </w:r>
      <w:proofErr w:type="spellEnd"/>
      <w:r w:rsidRPr="00333891">
        <w:t xml:space="preserve"> </w:t>
      </w:r>
      <w:proofErr w:type="spellStart"/>
      <w:r w:rsidRPr="00333891">
        <w:t>Pohlschroder</w:t>
      </w:r>
      <w:proofErr w:type="spellEnd"/>
      <w:r w:rsidRPr="00333891">
        <w:fldChar w:fldCharType="end"/>
      </w:r>
      <w:r w:rsidRPr="00333891">
        <w:t xml:space="preserve"> and </w:t>
      </w:r>
      <w:hyperlink r:id="rId9" w:history="1">
        <w:r w:rsidRPr="00333891">
          <w:t>Rianne N. Esquivel</w:t>
        </w:r>
      </w:hyperlink>
      <w:r w:rsidRPr="00333891">
        <w:t xml:space="preserve">, 2015) and in </w:t>
      </w:r>
      <w:r w:rsidRPr="00333891">
        <w:rPr>
          <w:i/>
        </w:rPr>
        <w:t>Clostridium</w:t>
      </w:r>
      <w:r w:rsidRPr="00333891">
        <w:t xml:space="preserve"> </w:t>
      </w:r>
      <w:r w:rsidRPr="00333891">
        <w:rPr>
          <w:rFonts w:hint="eastAsia"/>
        </w:rPr>
        <w:t>(</w:t>
      </w:r>
      <w:proofErr w:type="spellStart"/>
      <w:r w:rsidRPr="00333891">
        <w:t>Maldarelli</w:t>
      </w:r>
      <w:proofErr w:type="spellEnd"/>
      <w:r w:rsidRPr="00333891">
        <w:t xml:space="preserve"> et al., 2016). As ~33% of the </w:t>
      </w:r>
      <w:proofErr w:type="spellStart"/>
      <w:r w:rsidRPr="00333891">
        <w:rPr>
          <w:i/>
          <w:iCs/>
        </w:rPr>
        <w:t>PilQ</w:t>
      </w:r>
      <w:proofErr w:type="spellEnd"/>
      <w:r w:rsidRPr="00333891">
        <w:rPr>
          <w:i/>
          <w:iCs/>
        </w:rPr>
        <w:t xml:space="preserve"> </w:t>
      </w:r>
      <w:r w:rsidRPr="00333891">
        <w:t>and</w:t>
      </w:r>
      <w:r w:rsidRPr="00333891">
        <w:rPr>
          <w:i/>
          <w:iCs/>
        </w:rPr>
        <w:t xml:space="preserve"> PilY1</w:t>
      </w:r>
      <w:r w:rsidRPr="00333891">
        <w:t xml:space="preserve"> gene transcripts were expressed by the PR6, we speculate that PR6 together with the Accumulibacter PAO populations may play functional roles in this community promoting the granule aggregation (biofilm formation).  This hypothesis awaits further verification.</w:t>
      </w:r>
    </w:p>
    <w:p w14:paraId="6D7FCB3A" w14:textId="75A48A2D" w:rsidR="00581340" w:rsidRPr="0065677D" w:rsidRDefault="004513D8" w:rsidP="00333891">
      <w:pPr>
        <w:rPr>
          <w:rFonts w:eastAsiaTheme="minorEastAsia"/>
        </w:rPr>
      </w:pPr>
      <w:r>
        <w:br w:type="page"/>
      </w:r>
    </w:p>
    <w:p w14:paraId="13D16572" w14:textId="77777777" w:rsidR="007120FC" w:rsidRPr="00DC1BA2" w:rsidRDefault="007120FC" w:rsidP="007120FC">
      <w:pPr>
        <w:ind w:right="-1350"/>
        <w:rPr>
          <w:rFonts w:eastAsiaTheme="minorEastAsia" w:cs="Times New Roman"/>
          <w:b/>
        </w:rPr>
      </w:pPr>
      <w:r>
        <w:rPr>
          <w:rFonts w:cs="Times New Roman"/>
          <w:b/>
        </w:rPr>
        <w:lastRenderedPageBreak/>
        <w:t>Supplementary</w:t>
      </w:r>
      <w:r w:rsidRPr="00461D19">
        <w:rPr>
          <w:rFonts w:cs="Times New Roman"/>
          <w:b/>
        </w:rPr>
        <w:t xml:space="preserve"> Information – Tables</w:t>
      </w:r>
    </w:p>
    <w:p w14:paraId="1E85F33E" w14:textId="77777777" w:rsidR="007120FC" w:rsidRDefault="007120FC">
      <w:pPr>
        <w:rPr>
          <w:b/>
        </w:rPr>
      </w:pPr>
    </w:p>
    <w:p w14:paraId="2A3F3C66" w14:textId="03FD573D" w:rsidR="007120FC" w:rsidRPr="00333891" w:rsidRDefault="0035347A">
      <w:pPr>
        <w:rPr>
          <w:rFonts w:eastAsiaTheme="minorEastAsia"/>
        </w:rPr>
      </w:pPr>
      <w:r w:rsidRPr="00333891">
        <w:rPr>
          <w:b/>
        </w:rPr>
        <w:t>Table S1</w:t>
      </w:r>
      <w:r>
        <w:t>. ANI between the draft metagenome assembled genomes from this study and the corresponding most closely related (based on ANI) publicly available reference genome (NCBI accession numbers provided in the table).</w:t>
      </w:r>
    </w:p>
    <w:p w14:paraId="3C007EF8" w14:textId="77777777" w:rsidR="00581340" w:rsidRPr="00333891" w:rsidRDefault="00581340">
      <w:pPr>
        <w:rPr>
          <w:rFonts w:eastAsiaTheme="minorEastAsia"/>
        </w:rPr>
      </w:pPr>
    </w:p>
    <w:tbl>
      <w:tblPr>
        <w:tblW w:w="5500" w:type="dxa"/>
        <w:jc w:val="center"/>
        <w:tblLook w:val="04A0" w:firstRow="1" w:lastRow="0" w:firstColumn="1" w:lastColumn="0" w:noHBand="0" w:noVBand="1"/>
      </w:tblPr>
      <w:tblGrid>
        <w:gridCol w:w="1380"/>
        <w:gridCol w:w="3160"/>
        <w:gridCol w:w="960"/>
      </w:tblGrid>
      <w:tr w:rsidR="00734E7B" w:rsidRPr="000B4195" w14:paraId="28192424" w14:textId="77777777" w:rsidTr="00333891">
        <w:trPr>
          <w:trHeight w:val="300"/>
          <w:jc w:val="center"/>
        </w:trPr>
        <w:tc>
          <w:tcPr>
            <w:tcW w:w="1380" w:type="dxa"/>
            <w:tcBorders>
              <w:top w:val="single" w:sz="4" w:space="0" w:color="auto"/>
              <w:left w:val="nil"/>
              <w:bottom w:val="single" w:sz="4" w:space="0" w:color="auto"/>
              <w:right w:val="nil"/>
            </w:tcBorders>
            <w:shd w:val="clear" w:color="auto" w:fill="auto"/>
            <w:noWrap/>
            <w:vAlign w:val="bottom"/>
            <w:hideMark/>
          </w:tcPr>
          <w:p w14:paraId="283A3020" w14:textId="77777777" w:rsidR="00734E7B" w:rsidRPr="000B4195" w:rsidRDefault="00734E7B" w:rsidP="007120FC">
            <w:pPr>
              <w:jc w:val="center"/>
              <w:rPr>
                <w:rFonts w:eastAsia="Times New Roman" w:cs="Times New Roman"/>
                <w:sz w:val="22"/>
                <w:szCs w:val="22"/>
                <w:u w:val="single"/>
              </w:rPr>
            </w:pPr>
            <w:proofErr w:type="spellStart"/>
            <w:r w:rsidRPr="000B4195">
              <w:rPr>
                <w:rFonts w:eastAsia="Times New Roman" w:cs="Times New Roman"/>
                <w:sz w:val="22"/>
                <w:szCs w:val="22"/>
                <w:u w:val="single"/>
              </w:rPr>
              <w:t>Bin_ID</w:t>
            </w:r>
            <w:proofErr w:type="spellEnd"/>
          </w:p>
        </w:tc>
        <w:tc>
          <w:tcPr>
            <w:tcW w:w="3160" w:type="dxa"/>
            <w:tcBorders>
              <w:top w:val="single" w:sz="4" w:space="0" w:color="auto"/>
              <w:left w:val="nil"/>
              <w:bottom w:val="single" w:sz="4" w:space="0" w:color="auto"/>
              <w:right w:val="nil"/>
            </w:tcBorders>
            <w:shd w:val="clear" w:color="auto" w:fill="auto"/>
            <w:noWrap/>
            <w:vAlign w:val="bottom"/>
            <w:hideMark/>
          </w:tcPr>
          <w:p w14:paraId="5B54FB8A" w14:textId="77777777" w:rsidR="00734E7B" w:rsidRPr="000B4195" w:rsidRDefault="00734E7B" w:rsidP="007120FC">
            <w:pPr>
              <w:jc w:val="center"/>
              <w:rPr>
                <w:rFonts w:eastAsia="Times New Roman" w:cs="Times New Roman"/>
                <w:sz w:val="22"/>
                <w:szCs w:val="22"/>
                <w:u w:val="single"/>
              </w:rPr>
            </w:pPr>
            <w:r w:rsidRPr="000B4195">
              <w:rPr>
                <w:rFonts w:eastAsia="Times New Roman" w:cs="Times New Roman"/>
                <w:sz w:val="22"/>
                <w:szCs w:val="22"/>
                <w:u w:val="single"/>
              </w:rPr>
              <w:t>Reference genome</w:t>
            </w:r>
          </w:p>
        </w:tc>
        <w:tc>
          <w:tcPr>
            <w:tcW w:w="960" w:type="dxa"/>
            <w:tcBorders>
              <w:top w:val="single" w:sz="4" w:space="0" w:color="auto"/>
              <w:left w:val="nil"/>
              <w:bottom w:val="single" w:sz="4" w:space="0" w:color="auto"/>
              <w:right w:val="nil"/>
            </w:tcBorders>
            <w:shd w:val="clear" w:color="auto" w:fill="auto"/>
            <w:noWrap/>
            <w:vAlign w:val="bottom"/>
            <w:hideMark/>
          </w:tcPr>
          <w:p w14:paraId="6642B4A6" w14:textId="77777777" w:rsidR="00734E7B" w:rsidRPr="000B4195" w:rsidRDefault="00734E7B" w:rsidP="007120FC">
            <w:pPr>
              <w:jc w:val="center"/>
              <w:rPr>
                <w:rFonts w:eastAsia="Times New Roman" w:cs="Times New Roman"/>
                <w:sz w:val="22"/>
                <w:szCs w:val="22"/>
                <w:u w:val="single"/>
              </w:rPr>
            </w:pPr>
            <w:r w:rsidRPr="000B4195">
              <w:rPr>
                <w:rFonts w:eastAsia="Times New Roman" w:cs="Times New Roman"/>
                <w:sz w:val="22"/>
                <w:szCs w:val="22"/>
                <w:u w:val="single"/>
              </w:rPr>
              <w:t>ANI</w:t>
            </w:r>
          </w:p>
        </w:tc>
      </w:tr>
      <w:tr w:rsidR="00734E7B" w:rsidRPr="000B4195" w14:paraId="595A1B6C" w14:textId="77777777" w:rsidTr="00333891">
        <w:trPr>
          <w:trHeight w:val="300"/>
          <w:jc w:val="center"/>
        </w:trPr>
        <w:tc>
          <w:tcPr>
            <w:tcW w:w="1380" w:type="dxa"/>
            <w:tcBorders>
              <w:top w:val="single" w:sz="4" w:space="0" w:color="auto"/>
              <w:left w:val="nil"/>
              <w:bottom w:val="nil"/>
              <w:right w:val="nil"/>
            </w:tcBorders>
            <w:shd w:val="clear" w:color="auto" w:fill="auto"/>
            <w:noWrap/>
            <w:vAlign w:val="bottom"/>
            <w:hideMark/>
          </w:tcPr>
          <w:p w14:paraId="678C38C4"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Acc-IF</w:t>
            </w:r>
          </w:p>
        </w:tc>
        <w:tc>
          <w:tcPr>
            <w:tcW w:w="3160" w:type="dxa"/>
            <w:tcBorders>
              <w:top w:val="single" w:sz="4" w:space="0" w:color="auto"/>
              <w:left w:val="nil"/>
              <w:bottom w:val="nil"/>
              <w:right w:val="nil"/>
            </w:tcBorders>
            <w:shd w:val="clear" w:color="auto" w:fill="auto"/>
            <w:noWrap/>
            <w:vAlign w:val="bottom"/>
            <w:hideMark/>
          </w:tcPr>
          <w:p w14:paraId="096AA02E" w14:textId="77777777" w:rsidR="00734E7B" w:rsidRPr="002E536E" w:rsidRDefault="00734E7B" w:rsidP="007120FC">
            <w:pPr>
              <w:jc w:val="center"/>
              <w:rPr>
                <w:rFonts w:eastAsiaTheme="minorEastAsia" w:cs="Times New Roman"/>
                <w:sz w:val="22"/>
                <w:szCs w:val="22"/>
              </w:rPr>
            </w:pPr>
            <w:r w:rsidRPr="00FE083D">
              <w:rPr>
                <w:rFonts w:eastAsia="Times New Roman" w:cs="Times New Roman" w:hint="eastAsia"/>
                <w:sz w:val="22"/>
                <w:szCs w:val="22"/>
              </w:rPr>
              <w:t>G</w:t>
            </w:r>
            <w:r w:rsidRPr="00FE083D">
              <w:rPr>
                <w:rFonts w:eastAsia="Times New Roman" w:cs="Times New Roman"/>
                <w:sz w:val="22"/>
                <w:szCs w:val="22"/>
              </w:rPr>
              <w:t>CA_003538495.1</w:t>
            </w:r>
          </w:p>
        </w:tc>
        <w:tc>
          <w:tcPr>
            <w:tcW w:w="960" w:type="dxa"/>
            <w:tcBorders>
              <w:top w:val="single" w:sz="4" w:space="0" w:color="auto"/>
              <w:left w:val="nil"/>
              <w:bottom w:val="nil"/>
              <w:right w:val="nil"/>
            </w:tcBorders>
            <w:shd w:val="clear" w:color="auto" w:fill="auto"/>
            <w:noWrap/>
            <w:vAlign w:val="bottom"/>
            <w:hideMark/>
          </w:tcPr>
          <w:p w14:paraId="5A8FCA8B"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83</w:t>
            </w:r>
          </w:p>
        </w:tc>
      </w:tr>
      <w:tr w:rsidR="00734E7B" w:rsidRPr="000B4195" w14:paraId="6A2DA163"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70DAF1C5"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GAO1</w:t>
            </w:r>
          </w:p>
        </w:tc>
        <w:tc>
          <w:tcPr>
            <w:tcW w:w="3160" w:type="dxa"/>
            <w:tcBorders>
              <w:top w:val="nil"/>
              <w:left w:val="nil"/>
              <w:bottom w:val="nil"/>
              <w:right w:val="nil"/>
            </w:tcBorders>
            <w:shd w:val="clear" w:color="auto" w:fill="auto"/>
            <w:noWrap/>
            <w:vAlign w:val="bottom"/>
            <w:hideMark/>
          </w:tcPr>
          <w:p w14:paraId="1A7A1638"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GCA_002391525.1</w:t>
            </w:r>
          </w:p>
        </w:tc>
        <w:tc>
          <w:tcPr>
            <w:tcW w:w="960" w:type="dxa"/>
            <w:tcBorders>
              <w:top w:val="nil"/>
              <w:left w:val="nil"/>
              <w:bottom w:val="nil"/>
              <w:right w:val="nil"/>
            </w:tcBorders>
            <w:shd w:val="clear" w:color="auto" w:fill="auto"/>
            <w:noWrap/>
            <w:vAlign w:val="bottom"/>
            <w:hideMark/>
          </w:tcPr>
          <w:p w14:paraId="58B31B5D"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78</w:t>
            </w:r>
          </w:p>
        </w:tc>
      </w:tr>
      <w:tr w:rsidR="00734E7B" w:rsidRPr="000B4195" w14:paraId="137E773D"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739554AA"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PR6</w:t>
            </w:r>
          </w:p>
        </w:tc>
        <w:tc>
          <w:tcPr>
            <w:tcW w:w="3160" w:type="dxa"/>
            <w:tcBorders>
              <w:top w:val="nil"/>
              <w:left w:val="nil"/>
              <w:bottom w:val="nil"/>
              <w:right w:val="nil"/>
            </w:tcBorders>
            <w:shd w:val="clear" w:color="auto" w:fill="auto"/>
            <w:noWrap/>
            <w:vAlign w:val="bottom"/>
            <w:hideMark/>
          </w:tcPr>
          <w:p w14:paraId="42DDE7B5"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GCF_000972865.1</w:t>
            </w:r>
          </w:p>
        </w:tc>
        <w:tc>
          <w:tcPr>
            <w:tcW w:w="960" w:type="dxa"/>
            <w:tcBorders>
              <w:top w:val="nil"/>
              <w:left w:val="nil"/>
              <w:bottom w:val="nil"/>
              <w:right w:val="nil"/>
            </w:tcBorders>
            <w:shd w:val="clear" w:color="auto" w:fill="auto"/>
            <w:noWrap/>
            <w:vAlign w:val="bottom"/>
            <w:hideMark/>
          </w:tcPr>
          <w:p w14:paraId="560EDE99"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87</w:t>
            </w:r>
          </w:p>
        </w:tc>
      </w:tr>
      <w:tr w:rsidR="00734E7B" w:rsidRPr="000B4195" w14:paraId="50604D35"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75B128F6"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CH7</w:t>
            </w:r>
          </w:p>
        </w:tc>
        <w:tc>
          <w:tcPr>
            <w:tcW w:w="3160" w:type="dxa"/>
            <w:tcBorders>
              <w:top w:val="nil"/>
              <w:left w:val="nil"/>
              <w:bottom w:val="nil"/>
              <w:right w:val="nil"/>
            </w:tcBorders>
            <w:shd w:val="clear" w:color="auto" w:fill="auto"/>
            <w:noWrap/>
            <w:vAlign w:val="bottom"/>
            <w:hideMark/>
          </w:tcPr>
          <w:p w14:paraId="287D6259"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GCA_002746795.1</w:t>
            </w:r>
          </w:p>
        </w:tc>
        <w:tc>
          <w:tcPr>
            <w:tcW w:w="960" w:type="dxa"/>
            <w:tcBorders>
              <w:top w:val="nil"/>
              <w:left w:val="nil"/>
              <w:bottom w:val="nil"/>
              <w:right w:val="nil"/>
            </w:tcBorders>
            <w:shd w:val="clear" w:color="auto" w:fill="auto"/>
            <w:noWrap/>
            <w:vAlign w:val="bottom"/>
            <w:hideMark/>
          </w:tcPr>
          <w:p w14:paraId="6D32C945"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77</w:t>
            </w:r>
          </w:p>
        </w:tc>
      </w:tr>
      <w:tr w:rsidR="00734E7B" w:rsidRPr="000B4195" w14:paraId="798EED44"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197ECEE3"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BA1</w:t>
            </w:r>
          </w:p>
        </w:tc>
        <w:tc>
          <w:tcPr>
            <w:tcW w:w="3160" w:type="dxa"/>
            <w:tcBorders>
              <w:top w:val="nil"/>
              <w:left w:val="nil"/>
              <w:bottom w:val="nil"/>
              <w:right w:val="nil"/>
            </w:tcBorders>
            <w:shd w:val="clear" w:color="auto" w:fill="auto"/>
            <w:noWrap/>
            <w:vAlign w:val="bottom"/>
            <w:hideMark/>
          </w:tcPr>
          <w:p w14:paraId="30D38BC5"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GCA_001897835.1</w:t>
            </w:r>
          </w:p>
        </w:tc>
        <w:tc>
          <w:tcPr>
            <w:tcW w:w="960" w:type="dxa"/>
            <w:tcBorders>
              <w:top w:val="nil"/>
              <w:left w:val="nil"/>
              <w:bottom w:val="nil"/>
              <w:right w:val="nil"/>
            </w:tcBorders>
            <w:shd w:val="clear" w:color="auto" w:fill="auto"/>
            <w:noWrap/>
            <w:vAlign w:val="bottom"/>
            <w:hideMark/>
          </w:tcPr>
          <w:p w14:paraId="3EA5CBF9"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76</w:t>
            </w:r>
          </w:p>
        </w:tc>
      </w:tr>
      <w:tr w:rsidR="00734E7B" w:rsidRPr="000B4195" w14:paraId="1AF43A11"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7B31336C"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CH1</w:t>
            </w:r>
          </w:p>
        </w:tc>
        <w:tc>
          <w:tcPr>
            <w:tcW w:w="3160" w:type="dxa"/>
            <w:tcBorders>
              <w:top w:val="nil"/>
              <w:left w:val="nil"/>
              <w:bottom w:val="nil"/>
              <w:right w:val="nil"/>
            </w:tcBorders>
            <w:shd w:val="clear" w:color="auto" w:fill="auto"/>
            <w:noWrap/>
            <w:vAlign w:val="bottom"/>
            <w:hideMark/>
          </w:tcPr>
          <w:p w14:paraId="298EC1D4"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GCA_001567085.1</w:t>
            </w:r>
          </w:p>
        </w:tc>
        <w:tc>
          <w:tcPr>
            <w:tcW w:w="960" w:type="dxa"/>
            <w:tcBorders>
              <w:top w:val="nil"/>
              <w:left w:val="nil"/>
              <w:bottom w:val="nil"/>
              <w:right w:val="nil"/>
            </w:tcBorders>
            <w:shd w:val="clear" w:color="auto" w:fill="auto"/>
            <w:noWrap/>
            <w:vAlign w:val="bottom"/>
            <w:hideMark/>
          </w:tcPr>
          <w:p w14:paraId="64AEA4C6"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76</w:t>
            </w:r>
          </w:p>
        </w:tc>
      </w:tr>
      <w:tr w:rsidR="00734E7B" w:rsidRPr="000B4195" w14:paraId="13E633A5"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26645480"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CH6</w:t>
            </w:r>
          </w:p>
        </w:tc>
        <w:tc>
          <w:tcPr>
            <w:tcW w:w="3160" w:type="dxa"/>
            <w:tcBorders>
              <w:top w:val="nil"/>
              <w:left w:val="nil"/>
              <w:bottom w:val="nil"/>
              <w:right w:val="nil"/>
            </w:tcBorders>
            <w:shd w:val="clear" w:color="auto" w:fill="auto"/>
            <w:noWrap/>
            <w:vAlign w:val="bottom"/>
            <w:hideMark/>
          </w:tcPr>
          <w:p w14:paraId="720A806C"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GCA_002699125.1</w:t>
            </w:r>
          </w:p>
        </w:tc>
        <w:tc>
          <w:tcPr>
            <w:tcW w:w="960" w:type="dxa"/>
            <w:tcBorders>
              <w:top w:val="nil"/>
              <w:left w:val="nil"/>
              <w:bottom w:val="nil"/>
              <w:right w:val="nil"/>
            </w:tcBorders>
            <w:shd w:val="clear" w:color="auto" w:fill="auto"/>
            <w:noWrap/>
            <w:vAlign w:val="bottom"/>
            <w:hideMark/>
          </w:tcPr>
          <w:p w14:paraId="17EDABD8"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76</w:t>
            </w:r>
          </w:p>
        </w:tc>
      </w:tr>
      <w:tr w:rsidR="00734E7B" w:rsidRPr="000B4195" w14:paraId="32D1F70E"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015800EF"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CH2</w:t>
            </w:r>
          </w:p>
        </w:tc>
        <w:tc>
          <w:tcPr>
            <w:tcW w:w="3160" w:type="dxa"/>
            <w:tcBorders>
              <w:top w:val="nil"/>
              <w:left w:val="nil"/>
              <w:bottom w:val="nil"/>
              <w:right w:val="nil"/>
            </w:tcBorders>
            <w:shd w:val="clear" w:color="auto" w:fill="auto"/>
            <w:noWrap/>
            <w:vAlign w:val="bottom"/>
            <w:hideMark/>
          </w:tcPr>
          <w:p w14:paraId="282888F3"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GCA_002352035.1</w:t>
            </w:r>
          </w:p>
        </w:tc>
        <w:tc>
          <w:tcPr>
            <w:tcW w:w="960" w:type="dxa"/>
            <w:tcBorders>
              <w:top w:val="nil"/>
              <w:left w:val="nil"/>
              <w:bottom w:val="nil"/>
              <w:right w:val="nil"/>
            </w:tcBorders>
            <w:shd w:val="clear" w:color="auto" w:fill="auto"/>
            <w:noWrap/>
            <w:vAlign w:val="bottom"/>
            <w:hideMark/>
          </w:tcPr>
          <w:p w14:paraId="361A87A1"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76</w:t>
            </w:r>
          </w:p>
        </w:tc>
      </w:tr>
      <w:tr w:rsidR="00734E7B" w:rsidRPr="000B4195" w14:paraId="25655896"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3BFFA1DD"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BA12</w:t>
            </w:r>
          </w:p>
        </w:tc>
        <w:tc>
          <w:tcPr>
            <w:tcW w:w="3160" w:type="dxa"/>
            <w:tcBorders>
              <w:top w:val="nil"/>
              <w:left w:val="nil"/>
              <w:bottom w:val="nil"/>
              <w:right w:val="nil"/>
            </w:tcBorders>
            <w:shd w:val="clear" w:color="auto" w:fill="auto"/>
            <w:noWrap/>
            <w:vAlign w:val="bottom"/>
            <w:hideMark/>
          </w:tcPr>
          <w:p w14:paraId="58F16397"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GCF_002283555.1</w:t>
            </w:r>
          </w:p>
        </w:tc>
        <w:tc>
          <w:tcPr>
            <w:tcW w:w="960" w:type="dxa"/>
            <w:tcBorders>
              <w:top w:val="nil"/>
              <w:left w:val="nil"/>
              <w:bottom w:val="nil"/>
              <w:right w:val="nil"/>
            </w:tcBorders>
            <w:shd w:val="clear" w:color="auto" w:fill="auto"/>
            <w:noWrap/>
            <w:vAlign w:val="bottom"/>
            <w:hideMark/>
          </w:tcPr>
          <w:p w14:paraId="3F867C8F"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76</w:t>
            </w:r>
          </w:p>
        </w:tc>
      </w:tr>
      <w:tr w:rsidR="00734E7B" w:rsidRPr="000B4195" w14:paraId="6339D43A"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3C0435C7"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BA2</w:t>
            </w:r>
          </w:p>
        </w:tc>
        <w:tc>
          <w:tcPr>
            <w:tcW w:w="3160" w:type="dxa"/>
            <w:tcBorders>
              <w:top w:val="nil"/>
              <w:left w:val="nil"/>
              <w:bottom w:val="nil"/>
              <w:right w:val="nil"/>
            </w:tcBorders>
            <w:shd w:val="clear" w:color="auto" w:fill="auto"/>
            <w:noWrap/>
            <w:vAlign w:val="bottom"/>
            <w:hideMark/>
          </w:tcPr>
          <w:p w14:paraId="088FF17B"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GCA_002352145.1</w:t>
            </w:r>
          </w:p>
        </w:tc>
        <w:tc>
          <w:tcPr>
            <w:tcW w:w="960" w:type="dxa"/>
            <w:tcBorders>
              <w:top w:val="nil"/>
              <w:left w:val="nil"/>
              <w:bottom w:val="nil"/>
              <w:right w:val="nil"/>
            </w:tcBorders>
            <w:shd w:val="clear" w:color="auto" w:fill="auto"/>
            <w:noWrap/>
            <w:vAlign w:val="bottom"/>
            <w:hideMark/>
          </w:tcPr>
          <w:p w14:paraId="152FBB87"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76</w:t>
            </w:r>
          </w:p>
        </w:tc>
      </w:tr>
      <w:tr w:rsidR="00734E7B" w:rsidRPr="000B4195" w14:paraId="1FEA5987"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3C8F9906"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VE2</w:t>
            </w:r>
          </w:p>
        </w:tc>
        <w:tc>
          <w:tcPr>
            <w:tcW w:w="3160" w:type="dxa"/>
            <w:tcBorders>
              <w:top w:val="nil"/>
              <w:left w:val="nil"/>
              <w:bottom w:val="nil"/>
              <w:right w:val="nil"/>
            </w:tcBorders>
            <w:shd w:val="clear" w:color="auto" w:fill="auto"/>
            <w:noWrap/>
            <w:vAlign w:val="bottom"/>
            <w:hideMark/>
          </w:tcPr>
          <w:p w14:paraId="6BEE60DB"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GCA_002396485.1</w:t>
            </w:r>
          </w:p>
        </w:tc>
        <w:tc>
          <w:tcPr>
            <w:tcW w:w="960" w:type="dxa"/>
            <w:tcBorders>
              <w:top w:val="nil"/>
              <w:left w:val="nil"/>
              <w:bottom w:val="nil"/>
              <w:right w:val="nil"/>
            </w:tcBorders>
            <w:shd w:val="clear" w:color="auto" w:fill="auto"/>
            <w:noWrap/>
            <w:vAlign w:val="bottom"/>
            <w:hideMark/>
          </w:tcPr>
          <w:p w14:paraId="33069E0E"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76</w:t>
            </w:r>
          </w:p>
        </w:tc>
      </w:tr>
      <w:tr w:rsidR="00734E7B" w:rsidRPr="000B4195" w14:paraId="7997DE01"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7C794CBB"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CH3</w:t>
            </w:r>
          </w:p>
        </w:tc>
        <w:tc>
          <w:tcPr>
            <w:tcW w:w="3160" w:type="dxa"/>
            <w:tcBorders>
              <w:top w:val="nil"/>
              <w:left w:val="nil"/>
              <w:bottom w:val="nil"/>
              <w:right w:val="nil"/>
            </w:tcBorders>
            <w:shd w:val="clear" w:color="auto" w:fill="auto"/>
            <w:noWrap/>
            <w:vAlign w:val="bottom"/>
            <w:hideMark/>
          </w:tcPr>
          <w:p w14:paraId="5481A715"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GCA_002842085.1</w:t>
            </w:r>
          </w:p>
        </w:tc>
        <w:tc>
          <w:tcPr>
            <w:tcW w:w="960" w:type="dxa"/>
            <w:tcBorders>
              <w:top w:val="nil"/>
              <w:left w:val="nil"/>
              <w:bottom w:val="nil"/>
              <w:right w:val="nil"/>
            </w:tcBorders>
            <w:shd w:val="clear" w:color="auto" w:fill="auto"/>
            <w:noWrap/>
            <w:vAlign w:val="bottom"/>
            <w:hideMark/>
          </w:tcPr>
          <w:p w14:paraId="0CF3A1EE"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76</w:t>
            </w:r>
          </w:p>
        </w:tc>
      </w:tr>
      <w:tr w:rsidR="00734E7B" w:rsidRPr="000B4195" w14:paraId="526D84A7"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522CD58E"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MY1</w:t>
            </w:r>
          </w:p>
        </w:tc>
        <w:tc>
          <w:tcPr>
            <w:tcW w:w="3160" w:type="dxa"/>
            <w:tcBorders>
              <w:top w:val="nil"/>
              <w:left w:val="nil"/>
              <w:bottom w:val="nil"/>
              <w:right w:val="nil"/>
            </w:tcBorders>
            <w:shd w:val="clear" w:color="auto" w:fill="auto"/>
            <w:noWrap/>
            <w:vAlign w:val="bottom"/>
            <w:hideMark/>
          </w:tcPr>
          <w:p w14:paraId="1D0998E8"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GCF_000331735.1</w:t>
            </w:r>
          </w:p>
        </w:tc>
        <w:tc>
          <w:tcPr>
            <w:tcW w:w="960" w:type="dxa"/>
            <w:tcBorders>
              <w:top w:val="nil"/>
              <w:left w:val="nil"/>
              <w:bottom w:val="nil"/>
              <w:right w:val="nil"/>
            </w:tcBorders>
            <w:shd w:val="clear" w:color="auto" w:fill="auto"/>
            <w:noWrap/>
            <w:vAlign w:val="bottom"/>
            <w:hideMark/>
          </w:tcPr>
          <w:p w14:paraId="143BBA7A"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77</w:t>
            </w:r>
          </w:p>
        </w:tc>
      </w:tr>
      <w:tr w:rsidR="00734E7B" w:rsidRPr="000B4195" w14:paraId="16AB833B"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4E86EC8F"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VE1</w:t>
            </w:r>
          </w:p>
        </w:tc>
        <w:tc>
          <w:tcPr>
            <w:tcW w:w="3160" w:type="dxa"/>
            <w:tcBorders>
              <w:top w:val="nil"/>
              <w:left w:val="nil"/>
              <w:bottom w:val="nil"/>
              <w:right w:val="nil"/>
            </w:tcBorders>
            <w:shd w:val="clear" w:color="auto" w:fill="auto"/>
            <w:noWrap/>
            <w:vAlign w:val="bottom"/>
            <w:hideMark/>
          </w:tcPr>
          <w:p w14:paraId="292E0763"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GCA_002396485.1</w:t>
            </w:r>
          </w:p>
        </w:tc>
        <w:tc>
          <w:tcPr>
            <w:tcW w:w="960" w:type="dxa"/>
            <w:tcBorders>
              <w:top w:val="nil"/>
              <w:left w:val="nil"/>
              <w:bottom w:val="nil"/>
              <w:right w:val="nil"/>
            </w:tcBorders>
            <w:shd w:val="clear" w:color="auto" w:fill="auto"/>
            <w:noWrap/>
            <w:vAlign w:val="bottom"/>
            <w:hideMark/>
          </w:tcPr>
          <w:p w14:paraId="65DE27D8"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77</w:t>
            </w:r>
          </w:p>
        </w:tc>
      </w:tr>
      <w:tr w:rsidR="00734E7B" w:rsidRPr="000B4195" w14:paraId="183B8E64"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4CD62847"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VE3</w:t>
            </w:r>
          </w:p>
        </w:tc>
        <w:tc>
          <w:tcPr>
            <w:tcW w:w="3160" w:type="dxa"/>
            <w:tcBorders>
              <w:top w:val="nil"/>
              <w:left w:val="nil"/>
              <w:bottom w:val="nil"/>
              <w:right w:val="nil"/>
            </w:tcBorders>
            <w:shd w:val="clear" w:color="auto" w:fill="auto"/>
            <w:noWrap/>
            <w:vAlign w:val="bottom"/>
            <w:hideMark/>
          </w:tcPr>
          <w:p w14:paraId="4ED40E53"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GCF_000972765.1</w:t>
            </w:r>
          </w:p>
        </w:tc>
        <w:tc>
          <w:tcPr>
            <w:tcW w:w="960" w:type="dxa"/>
            <w:tcBorders>
              <w:top w:val="nil"/>
              <w:left w:val="nil"/>
              <w:bottom w:val="nil"/>
              <w:right w:val="nil"/>
            </w:tcBorders>
            <w:shd w:val="clear" w:color="auto" w:fill="auto"/>
            <w:noWrap/>
            <w:vAlign w:val="bottom"/>
            <w:hideMark/>
          </w:tcPr>
          <w:p w14:paraId="38365A86"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77</w:t>
            </w:r>
          </w:p>
        </w:tc>
      </w:tr>
      <w:tr w:rsidR="00734E7B" w:rsidRPr="000B4195" w14:paraId="6DAC4721"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3FD23F49"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PL1</w:t>
            </w:r>
          </w:p>
        </w:tc>
        <w:tc>
          <w:tcPr>
            <w:tcW w:w="3160" w:type="dxa"/>
            <w:tcBorders>
              <w:top w:val="nil"/>
              <w:left w:val="nil"/>
              <w:bottom w:val="nil"/>
              <w:right w:val="nil"/>
            </w:tcBorders>
            <w:shd w:val="clear" w:color="auto" w:fill="auto"/>
            <w:noWrap/>
            <w:vAlign w:val="bottom"/>
            <w:hideMark/>
          </w:tcPr>
          <w:p w14:paraId="7FD2ACC1"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GCA_002343325.1</w:t>
            </w:r>
          </w:p>
        </w:tc>
        <w:tc>
          <w:tcPr>
            <w:tcW w:w="960" w:type="dxa"/>
            <w:tcBorders>
              <w:top w:val="nil"/>
              <w:left w:val="nil"/>
              <w:bottom w:val="nil"/>
              <w:right w:val="nil"/>
            </w:tcBorders>
            <w:shd w:val="clear" w:color="auto" w:fill="auto"/>
            <w:noWrap/>
            <w:vAlign w:val="bottom"/>
            <w:hideMark/>
          </w:tcPr>
          <w:p w14:paraId="503A7521"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78</w:t>
            </w:r>
          </w:p>
        </w:tc>
      </w:tr>
      <w:tr w:rsidR="00734E7B" w:rsidRPr="000B4195" w14:paraId="46353783"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0531BC85"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BA6</w:t>
            </w:r>
          </w:p>
        </w:tc>
        <w:tc>
          <w:tcPr>
            <w:tcW w:w="3160" w:type="dxa"/>
            <w:tcBorders>
              <w:top w:val="nil"/>
              <w:left w:val="nil"/>
              <w:bottom w:val="nil"/>
              <w:right w:val="nil"/>
            </w:tcBorders>
            <w:shd w:val="clear" w:color="auto" w:fill="auto"/>
            <w:noWrap/>
            <w:vAlign w:val="bottom"/>
            <w:hideMark/>
          </w:tcPr>
          <w:p w14:paraId="6019F3C9"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GCA_002344125.1</w:t>
            </w:r>
          </w:p>
        </w:tc>
        <w:tc>
          <w:tcPr>
            <w:tcW w:w="960" w:type="dxa"/>
            <w:tcBorders>
              <w:top w:val="nil"/>
              <w:left w:val="nil"/>
              <w:bottom w:val="nil"/>
              <w:right w:val="nil"/>
            </w:tcBorders>
            <w:shd w:val="clear" w:color="auto" w:fill="auto"/>
            <w:noWrap/>
            <w:vAlign w:val="bottom"/>
            <w:hideMark/>
          </w:tcPr>
          <w:p w14:paraId="5EAA4C12"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78</w:t>
            </w:r>
          </w:p>
        </w:tc>
      </w:tr>
      <w:tr w:rsidR="00734E7B" w:rsidRPr="000B4195" w14:paraId="6483546D"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029F88CA"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CH5</w:t>
            </w:r>
          </w:p>
        </w:tc>
        <w:tc>
          <w:tcPr>
            <w:tcW w:w="3160" w:type="dxa"/>
            <w:tcBorders>
              <w:top w:val="nil"/>
              <w:left w:val="nil"/>
              <w:bottom w:val="nil"/>
              <w:right w:val="nil"/>
            </w:tcBorders>
            <w:shd w:val="clear" w:color="auto" w:fill="auto"/>
            <w:noWrap/>
            <w:vAlign w:val="bottom"/>
            <w:hideMark/>
          </w:tcPr>
          <w:p w14:paraId="3D4F6BF3" w14:textId="4660ED48" w:rsidR="00734E7B" w:rsidRPr="000B4195" w:rsidRDefault="00D20BC4" w:rsidP="007120FC">
            <w:pPr>
              <w:jc w:val="center"/>
              <w:rPr>
                <w:rFonts w:eastAsia="Times New Roman" w:cs="Times New Roman"/>
                <w:sz w:val="22"/>
                <w:szCs w:val="22"/>
              </w:rPr>
            </w:pPr>
            <w:r>
              <w:rPr>
                <w:rFonts w:ascii="Arial" w:hAnsi="Arial" w:cs="Arial"/>
                <w:color w:val="000000"/>
                <w:sz w:val="20"/>
                <w:szCs w:val="20"/>
                <w:shd w:val="clear" w:color="auto" w:fill="FFFFFF"/>
              </w:rPr>
              <w:t>GCA_003451595.1</w:t>
            </w:r>
          </w:p>
        </w:tc>
        <w:tc>
          <w:tcPr>
            <w:tcW w:w="960" w:type="dxa"/>
            <w:tcBorders>
              <w:top w:val="nil"/>
              <w:left w:val="nil"/>
              <w:bottom w:val="nil"/>
              <w:right w:val="nil"/>
            </w:tcBorders>
            <w:shd w:val="clear" w:color="auto" w:fill="auto"/>
            <w:noWrap/>
            <w:vAlign w:val="bottom"/>
            <w:hideMark/>
          </w:tcPr>
          <w:p w14:paraId="2AED1675"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79</w:t>
            </w:r>
          </w:p>
        </w:tc>
      </w:tr>
      <w:tr w:rsidR="00734E7B" w:rsidRPr="000B4195" w14:paraId="64739ADF"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1D4AD635"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PR2</w:t>
            </w:r>
          </w:p>
        </w:tc>
        <w:tc>
          <w:tcPr>
            <w:tcW w:w="3160" w:type="dxa"/>
            <w:tcBorders>
              <w:top w:val="nil"/>
              <w:left w:val="nil"/>
              <w:bottom w:val="nil"/>
              <w:right w:val="nil"/>
            </w:tcBorders>
            <w:shd w:val="clear" w:color="auto" w:fill="auto"/>
            <w:noWrap/>
            <w:vAlign w:val="bottom"/>
            <w:hideMark/>
          </w:tcPr>
          <w:p w14:paraId="5B08655A"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GCA_002280405.1</w:t>
            </w:r>
          </w:p>
        </w:tc>
        <w:tc>
          <w:tcPr>
            <w:tcW w:w="960" w:type="dxa"/>
            <w:tcBorders>
              <w:top w:val="nil"/>
              <w:left w:val="nil"/>
              <w:bottom w:val="nil"/>
              <w:right w:val="nil"/>
            </w:tcBorders>
            <w:shd w:val="clear" w:color="auto" w:fill="auto"/>
            <w:noWrap/>
            <w:vAlign w:val="bottom"/>
            <w:hideMark/>
          </w:tcPr>
          <w:p w14:paraId="6C250D14"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79</w:t>
            </w:r>
          </w:p>
        </w:tc>
      </w:tr>
      <w:tr w:rsidR="00734E7B" w:rsidRPr="000B4195" w14:paraId="02D9E1FE"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42093859"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PR4</w:t>
            </w:r>
          </w:p>
        </w:tc>
        <w:tc>
          <w:tcPr>
            <w:tcW w:w="3160" w:type="dxa"/>
            <w:tcBorders>
              <w:top w:val="nil"/>
              <w:left w:val="nil"/>
              <w:bottom w:val="nil"/>
              <w:right w:val="nil"/>
            </w:tcBorders>
            <w:shd w:val="clear" w:color="auto" w:fill="auto"/>
            <w:noWrap/>
            <w:vAlign w:val="bottom"/>
            <w:hideMark/>
          </w:tcPr>
          <w:p w14:paraId="76C39847"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GCF_001293525.1</w:t>
            </w:r>
          </w:p>
        </w:tc>
        <w:tc>
          <w:tcPr>
            <w:tcW w:w="960" w:type="dxa"/>
            <w:tcBorders>
              <w:top w:val="nil"/>
              <w:left w:val="nil"/>
              <w:bottom w:val="nil"/>
              <w:right w:val="nil"/>
            </w:tcBorders>
            <w:shd w:val="clear" w:color="auto" w:fill="auto"/>
            <w:noWrap/>
            <w:vAlign w:val="bottom"/>
            <w:hideMark/>
          </w:tcPr>
          <w:p w14:paraId="48B5D5DA"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79</w:t>
            </w:r>
          </w:p>
        </w:tc>
      </w:tr>
      <w:tr w:rsidR="00734E7B" w:rsidRPr="000B4195" w14:paraId="5AEBC57E"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7BBF7FEC"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PR3</w:t>
            </w:r>
          </w:p>
        </w:tc>
        <w:tc>
          <w:tcPr>
            <w:tcW w:w="3160" w:type="dxa"/>
            <w:tcBorders>
              <w:top w:val="nil"/>
              <w:left w:val="nil"/>
              <w:bottom w:val="nil"/>
              <w:right w:val="nil"/>
            </w:tcBorders>
            <w:shd w:val="clear" w:color="auto" w:fill="auto"/>
            <w:noWrap/>
            <w:vAlign w:val="bottom"/>
            <w:hideMark/>
          </w:tcPr>
          <w:p w14:paraId="7C9B78D8"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GCA_001770955.1</w:t>
            </w:r>
          </w:p>
        </w:tc>
        <w:tc>
          <w:tcPr>
            <w:tcW w:w="960" w:type="dxa"/>
            <w:tcBorders>
              <w:top w:val="nil"/>
              <w:left w:val="nil"/>
              <w:bottom w:val="nil"/>
              <w:right w:val="nil"/>
            </w:tcBorders>
            <w:shd w:val="clear" w:color="auto" w:fill="auto"/>
            <w:noWrap/>
            <w:vAlign w:val="bottom"/>
            <w:hideMark/>
          </w:tcPr>
          <w:p w14:paraId="7377EDD4"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79</w:t>
            </w:r>
          </w:p>
        </w:tc>
      </w:tr>
      <w:tr w:rsidR="00734E7B" w:rsidRPr="000B4195" w14:paraId="5C43F2D9"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220446C5"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CH4</w:t>
            </w:r>
          </w:p>
        </w:tc>
        <w:tc>
          <w:tcPr>
            <w:tcW w:w="3160" w:type="dxa"/>
            <w:tcBorders>
              <w:top w:val="nil"/>
              <w:left w:val="nil"/>
              <w:bottom w:val="nil"/>
              <w:right w:val="nil"/>
            </w:tcBorders>
            <w:shd w:val="clear" w:color="auto" w:fill="auto"/>
            <w:noWrap/>
            <w:vAlign w:val="bottom"/>
            <w:hideMark/>
          </w:tcPr>
          <w:p w14:paraId="191BBECC"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GCA_001567085.1</w:t>
            </w:r>
          </w:p>
        </w:tc>
        <w:tc>
          <w:tcPr>
            <w:tcW w:w="960" w:type="dxa"/>
            <w:tcBorders>
              <w:top w:val="nil"/>
              <w:left w:val="nil"/>
              <w:bottom w:val="nil"/>
              <w:right w:val="nil"/>
            </w:tcBorders>
            <w:shd w:val="clear" w:color="auto" w:fill="auto"/>
            <w:noWrap/>
            <w:vAlign w:val="bottom"/>
            <w:hideMark/>
          </w:tcPr>
          <w:p w14:paraId="587359AC"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79</w:t>
            </w:r>
          </w:p>
        </w:tc>
      </w:tr>
      <w:tr w:rsidR="00734E7B" w:rsidRPr="000B4195" w14:paraId="0CA83949"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35C86718"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VE4</w:t>
            </w:r>
          </w:p>
        </w:tc>
        <w:tc>
          <w:tcPr>
            <w:tcW w:w="3160" w:type="dxa"/>
            <w:tcBorders>
              <w:top w:val="nil"/>
              <w:left w:val="nil"/>
              <w:bottom w:val="nil"/>
              <w:right w:val="nil"/>
            </w:tcBorders>
            <w:shd w:val="clear" w:color="auto" w:fill="auto"/>
            <w:noWrap/>
            <w:vAlign w:val="bottom"/>
            <w:hideMark/>
          </w:tcPr>
          <w:p w14:paraId="6427CBA6"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GCA_002344865.1</w:t>
            </w:r>
          </w:p>
        </w:tc>
        <w:tc>
          <w:tcPr>
            <w:tcW w:w="960" w:type="dxa"/>
            <w:tcBorders>
              <w:top w:val="nil"/>
              <w:left w:val="nil"/>
              <w:bottom w:val="nil"/>
              <w:right w:val="nil"/>
            </w:tcBorders>
            <w:shd w:val="clear" w:color="auto" w:fill="auto"/>
            <w:noWrap/>
            <w:vAlign w:val="bottom"/>
            <w:hideMark/>
          </w:tcPr>
          <w:p w14:paraId="65BC8787"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80</w:t>
            </w:r>
          </w:p>
        </w:tc>
      </w:tr>
      <w:tr w:rsidR="00734E7B" w:rsidRPr="000B4195" w14:paraId="7EA7764B"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2CAA66EF"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PR5</w:t>
            </w:r>
          </w:p>
        </w:tc>
        <w:tc>
          <w:tcPr>
            <w:tcW w:w="3160" w:type="dxa"/>
            <w:tcBorders>
              <w:top w:val="nil"/>
              <w:left w:val="nil"/>
              <w:bottom w:val="nil"/>
              <w:right w:val="nil"/>
            </w:tcBorders>
            <w:shd w:val="clear" w:color="auto" w:fill="auto"/>
            <w:noWrap/>
            <w:vAlign w:val="bottom"/>
            <w:hideMark/>
          </w:tcPr>
          <w:p w14:paraId="203BA842"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GCF_900155935.1</w:t>
            </w:r>
          </w:p>
        </w:tc>
        <w:tc>
          <w:tcPr>
            <w:tcW w:w="960" w:type="dxa"/>
            <w:tcBorders>
              <w:top w:val="nil"/>
              <w:left w:val="nil"/>
              <w:bottom w:val="nil"/>
              <w:right w:val="nil"/>
            </w:tcBorders>
            <w:shd w:val="clear" w:color="auto" w:fill="auto"/>
            <w:noWrap/>
            <w:vAlign w:val="bottom"/>
            <w:hideMark/>
          </w:tcPr>
          <w:p w14:paraId="2BB29FC1"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84</w:t>
            </w:r>
          </w:p>
        </w:tc>
      </w:tr>
      <w:tr w:rsidR="00734E7B" w:rsidRPr="000B4195" w14:paraId="638D18C8"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79720A83"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BA10</w:t>
            </w:r>
          </w:p>
        </w:tc>
        <w:tc>
          <w:tcPr>
            <w:tcW w:w="3160" w:type="dxa"/>
            <w:tcBorders>
              <w:top w:val="nil"/>
              <w:left w:val="nil"/>
              <w:bottom w:val="nil"/>
              <w:right w:val="nil"/>
            </w:tcBorders>
            <w:shd w:val="clear" w:color="auto" w:fill="auto"/>
            <w:noWrap/>
            <w:vAlign w:val="bottom"/>
            <w:hideMark/>
          </w:tcPr>
          <w:p w14:paraId="270A39C1"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GCA_002839825.1</w:t>
            </w:r>
          </w:p>
        </w:tc>
        <w:tc>
          <w:tcPr>
            <w:tcW w:w="960" w:type="dxa"/>
            <w:tcBorders>
              <w:top w:val="nil"/>
              <w:left w:val="nil"/>
              <w:bottom w:val="nil"/>
              <w:right w:val="nil"/>
            </w:tcBorders>
            <w:shd w:val="clear" w:color="auto" w:fill="auto"/>
            <w:noWrap/>
            <w:vAlign w:val="bottom"/>
            <w:hideMark/>
          </w:tcPr>
          <w:p w14:paraId="4E5665D2"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86</w:t>
            </w:r>
          </w:p>
        </w:tc>
      </w:tr>
      <w:tr w:rsidR="00734E7B" w:rsidRPr="000B4195" w14:paraId="2AE94548"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36FC9549"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BA7</w:t>
            </w:r>
          </w:p>
        </w:tc>
        <w:tc>
          <w:tcPr>
            <w:tcW w:w="3160" w:type="dxa"/>
            <w:tcBorders>
              <w:top w:val="nil"/>
              <w:left w:val="nil"/>
              <w:bottom w:val="nil"/>
              <w:right w:val="nil"/>
            </w:tcBorders>
            <w:shd w:val="clear" w:color="auto" w:fill="auto"/>
            <w:noWrap/>
            <w:vAlign w:val="bottom"/>
            <w:hideMark/>
          </w:tcPr>
          <w:p w14:paraId="12F7E930" w14:textId="0F7BC637" w:rsidR="00734E7B" w:rsidRPr="000B4195" w:rsidRDefault="00D20BC4" w:rsidP="007120FC">
            <w:pPr>
              <w:jc w:val="center"/>
              <w:rPr>
                <w:rFonts w:eastAsia="Times New Roman" w:cs="Times New Roman"/>
                <w:sz w:val="22"/>
                <w:szCs w:val="22"/>
              </w:rPr>
            </w:pPr>
            <w:r>
              <w:rPr>
                <w:rFonts w:ascii="Arial" w:hAnsi="Arial" w:cs="Arial"/>
                <w:color w:val="000000"/>
                <w:sz w:val="20"/>
                <w:szCs w:val="20"/>
                <w:shd w:val="clear" w:color="auto" w:fill="FFFFFF"/>
              </w:rPr>
              <w:t>GCA_003523425.1</w:t>
            </w:r>
          </w:p>
        </w:tc>
        <w:tc>
          <w:tcPr>
            <w:tcW w:w="960" w:type="dxa"/>
            <w:tcBorders>
              <w:top w:val="nil"/>
              <w:left w:val="nil"/>
              <w:bottom w:val="nil"/>
              <w:right w:val="nil"/>
            </w:tcBorders>
            <w:shd w:val="clear" w:color="auto" w:fill="auto"/>
            <w:noWrap/>
            <w:vAlign w:val="bottom"/>
            <w:hideMark/>
          </w:tcPr>
          <w:p w14:paraId="4BB99DD8"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96</w:t>
            </w:r>
          </w:p>
        </w:tc>
      </w:tr>
      <w:tr w:rsidR="00734E7B" w:rsidRPr="000B4195" w14:paraId="1AB5FFC1"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52139E84"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BA8</w:t>
            </w:r>
          </w:p>
        </w:tc>
        <w:tc>
          <w:tcPr>
            <w:tcW w:w="3160" w:type="dxa"/>
            <w:tcBorders>
              <w:top w:val="nil"/>
              <w:left w:val="nil"/>
              <w:bottom w:val="nil"/>
              <w:right w:val="nil"/>
            </w:tcBorders>
            <w:shd w:val="clear" w:color="auto" w:fill="auto"/>
            <w:noWrap/>
            <w:vAlign w:val="bottom"/>
            <w:hideMark/>
          </w:tcPr>
          <w:p w14:paraId="55B5131B"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GCA_002344125.1</w:t>
            </w:r>
          </w:p>
        </w:tc>
        <w:tc>
          <w:tcPr>
            <w:tcW w:w="960" w:type="dxa"/>
            <w:tcBorders>
              <w:top w:val="nil"/>
              <w:left w:val="nil"/>
              <w:bottom w:val="nil"/>
              <w:right w:val="nil"/>
            </w:tcBorders>
            <w:shd w:val="clear" w:color="auto" w:fill="auto"/>
            <w:noWrap/>
            <w:vAlign w:val="bottom"/>
            <w:hideMark/>
          </w:tcPr>
          <w:p w14:paraId="1EAAD4E4"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98</w:t>
            </w:r>
          </w:p>
        </w:tc>
      </w:tr>
      <w:tr w:rsidR="00734E7B" w:rsidRPr="000B4195" w14:paraId="0A8A1265"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5321492F"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BA3</w:t>
            </w:r>
          </w:p>
        </w:tc>
        <w:tc>
          <w:tcPr>
            <w:tcW w:w="3160" w:type="dxa"/>
            <w:tcBorders>
              <w:top w:val="nil"/>
              <w:left w:val="nil"/>
              <w:bottom w:val="nil"/>
              <w:right w:val="nil"/>
            </w:tcBorders>
            <w:shd w:val="clear" w:color="auto" w:fill="auto"/>
            <w:noWrap/>
            <w:vAlign w:val="bottom"/>
            <w:hideMark/>
          </w:tcPr>
          <w:p w14:paraId="3F016126"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GCA_002344975.1</w:t>
            </w:r>
          </w:p>
        </w:tc>
        <w:tc>
          <w:tcPr>
            <w:tcW w:w="960" w:type="dxa"/>
            <w:tcBorders>
              <w:top w:val="nil"/>
              <w:left w:val="nil"/>
              <w:bottom w:val="nil"/>
              <w:right w:val="nil"/>
            </w:tcBorders>
            <w:shd w:val="clear" w:color="auto" w:fill="auto"/>
            <w:noWrap/>
            <w:vAlign w:val="bottom"/>
            <w:hideMark/>
          </w:tcPr>
          <w:p w14:paraId="32F8B6D0"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98</w:t>
            </w:r>
          </w:p>
        </w:tc>
      </w:tr>
      <w:tr w:rsidR="00734E7B" w:rsidRPr="000B4195" w14:paraId="37206DC5"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6DF07572"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BA5</w:t>
            </w:r>
          </w:p>
        </w:tc>
        <w:tc>
          <w:tcPr>
            <w:tcW w:w="3160" w:type="dxa"/>
            <w:tcBorders>
              <w:top w:val="nil"/>
              <w:left w:val="nil"/>
              <w:bottom w:val="nil"/>
              <w:right w:val="nil"/>
            </w:tcBorders>
            <w:shd w:val="clear" w:color="auto" w:fill="auto"/>
            <w:noWrap/>
            <w:vAlign w:val="bottom"/>
            <w:hideMark/>
          </w:tcPr>
          <w:p w14:paraId="3CD67E91"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GCA_002426785.1</w:t>
            </w:r>
          </w:p>
        </w:tc>
        <w:tc>
          <w:tcPr>
            <w:tcW w:w="960" w:type="dxa"/>
            <w:tcBorders>
              <w:top w:val="nil"/>
              <w:left w:val="nil"/>
              <w:bottom w:val="nil"/>
              <w:right w:val="nil"/>
            </w:tcBorders>
            <w:shd w:val="clear" w:color="auto" w:fill="auto"/>
            <w:noWrap/>
            <w:vAlign w:val="bottom"/>
            <w:hideMark/>
          </w:tcPr>
          <w:p w14:paraId="0BC246BD"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98</w:t>
            </w:r>
          </w:p>
        </w:tc>
      </w:tr>
      <w:tr w:rsidR="00734E7B" w:rsidRPr="000B4195" w14:paraId="5B05B1E8" w14:textId="77777777" w:rsidTr="00333891">
        <w:trPr>
          <w:trHeight w:val="300"/>
          <w:jc w:val="center"/>
        </w:trPr>
        <w:tc>
          <w:tcPr>
            <w:tcW w:w="1380" w:type="dxa"/>
            <w:tcBorders>
              <w:top w:val="nil"/>
              <w:left w:val="nil"/>
              <w:bottom w:val="nil"/>
              <w:right w:val="nil"/>
            </w:tcBorders>
            <w:shd w:val="clear" w:color="auto" w:fill="auto"/>
            <w:noWrap/>
            <w:vAlign w:val="bottom"/>
            <w:hideMark/>
          </w:tcPr>
          <w:p w14:paraId="721FDF60"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PR1</w:t>
            </w:r>
          </w:p>
        </w:tc>
        <w:tc>
          <w:tcPr>
            <w:tcW w:w="3160" w:type="dxa"/>
            <w:tcBorders>
              <w:top w:val="nil"/>
              <w:left w:val="nil"/>
              <w:bottom w:val="nil"/>
              <w:right w:val="nil"/>
            </w:tcBorders>
            <w:shd w:val="clear" w:color="auto" w:fill="auto"/>
            <w:noWrap/>
            <w:vAlign w:val="bottom"/>
            <w:hideMark/>
          </w:tcPr>
          <w:p w14:paraId="4BC96AA6"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GCA_002425415.1</w:t>
            </w:r>
          </w:p>
        </w:tc>
        <w:tc>
          <w:tcPr>
            <w:tcW w:w="960" w:type="dxa"/>
            <w:tcBorders>
              <w:top w:val="nil"/>
              <w:left w:val="nil"/>
              <w:bottom w:val="nil"/>
              <w:right w:val="nil"/>
            </w:tcBorders>
            <w:shd w:val="clear" w:color="auto" w:fill="auto"/>
            <w:noWrap/>
            <w:vAlign w:val="bottom"/>
            <w:hideMark/>
          </w:tcPr>
          <w:p w14:paraId="090D370D"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99</w:t>
            </w:r>
          </w:p>
        </w:tc>
      </w:tr>
      <w:tr w:rsidR="00734E7B" w:rsidRPr="000B4195" w14:paraId="01C409A0" w14:textId="77777777" w:rsidTr="00333891">
        <w:trPr>
          <w:trHeight w:val="300"/>
          <w:jc w:val="center"/>
        </w:trPr>
        <w:tc>
          <w:tcPr>
            <w:tcW w:w="1380" w:type="dxa"/>
            <w:tcBorders>
              <w:top w:val="nil"/>
              <w:left w:val="nil"/>
              <w:bottom w:val="single" w:sz="4" w:space="0" w:color="auto"/>
              <w:right w:val="nil"/>
            </w:tcBorders>
            <w:shd w:val="clear" w:color="auto" w:fill="auto"/>
            <w:noWrap/>
            <w:vAlign w:val="bottom"/>
            <w:hideMark/>
          </w:tcPr>
          <w:p w14:paraId="0486F65D"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BA11</w:t>
            </w:r>
          </w:p>
        </w:tc>
        <w:tc>
          <w:tcPr>
            <w:tcW w:w="3160" w:type="dxa"/>
            <w:tcBorders>
              <w:top w:val="nil"/>
              <w:left w:val="nil"/>
              <w:bottom w:val="single" w:sz="4" w:space="0" w:color="auto"/>
              <w:right w:val="nil"/>
            </w:tcBorders>
            <w:shd w:val="clear" w:color="auto" w:fill="auto"/>
            <w:noWrap/>
            <w:vAlign w:val="bottom"/>
            <w:hideMark/>
          </w:tcPr>
          <w:p w14:paraId="48A60289"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GCA_001567175.1</w:t>
            </w:r>
          </w:p>
        </w:tc>
        <w:tc>
          <w:tcPr>
            <w:tcW w:w="960" w:type="dxa"/>
            <w:tcBorders>
              <w:top w:val="nil"/>
              <w:left w:val="nil"/>
              <w:bottom w:val="single" w:sz="4" w:space="0" w:color="auto"/>
              <w:right w:val="nil"/>
            </w:tcBorders>
            <w:shd w:val="clear" w:color="auto" w:fill="auto"/>
            <w:noWrap/>
            <w:vAlign w:val="bottom"/>
            <w:hideMark/>
          </w:tcPr>
          <w:p w14:paraId="23BC16D1" w14:textId="77777777" w:rsidR="00734E7B" w:rsidRPr="000B4195" w:rsidRDefault="00734E7B" w:rsidP="007120FC">
            <w:pPr>
              <w:jc w:val="center"/>
              <w:rPr>
                <w:rFonts w:eastAsia="Times New Roman" w:cs="Times New Roman"/>
                <w:sz w:val="22"/>
                <w:szCs w:val="22"/>
              </w:rPr>
            </w:pPr>
            <w:r w:rsidRPr="000B4195">
              <w:rPr>
                <w:rFonts w:eastAsia="Times New Roman" w:cs="Times New Roman"/>
                <w:sz w:val="22"/>
                <w:szCs w:val="22"/>
              </w:rPr>
              <w:t>100</w:t>
            </w:r>
          </w:p>
        </w:tc>
      </w:tr>
    </w:tbl>
    <w:p w14:paraId="7A13BA1F" w14:textId="77777777" w:rsidR="00581340" w:rsidRDefault="00581340"/>
    <w:p w14:paraId="61D822C8" w14:textId="77777777" w:rsidR="00581340" w:rsidRDefault="00581340">
      <w:pPr>
        <w:sectPr w:rsidR="00581340">
          <w:pgSz w:w="12240" w:h="15840"/>
          <w:pgMar w:top="1440" w:right="1440" w:bottom="1440" w:left="1440" w:header="720" w:footer="720" w:gutter="0"/>
          <w:cols w:space="720"/>
          <w:docGrid w:linePitch="400"/>
        </w:sectPr>
      </w:pPr>
    </w:p>
    <w:p w14:paraId="3BBB45AC" w14:textId="77777777" w:rsidR="00581340" w:rsidRDefault="00581340"/>
    <w:p w14:paraId="1A6CAA5C" w14:textId="77777777" w:rsidR="00581340" w:rsidRDefault="0035347A">
      <w:pPr>
        <w:rPr>
          <w:rFonts w:cs="Times New Roman"/>
        </w:rPr>
      </w:pPr>
      <w:r w:rsidRPr="00333891">
        <w:rPr>
          <w:b/>
        </w:rPr>
        <w:t>Table S2</w:t>
      </w:r>
      <w:r>
        <w:t xml:space="preserve">. RT-qPCR quantification on the expression of the </w:t>
      </w:r>
      <w:proofErr w:type="spellStart"/>
      <w:r>
        <w:rPr>
          <w:i/>
          <w:iCs/>
        </w:rPr>
        <w:t>nirS</w:t>
      </w:r>
      <w:proofErr w:type="spellEnd"/>
      <w:r>
        <w:t xml:space="preserve"> and </w:t>
      </w:r>
      <w:proofErr w:type="spellStart"/>
      <w:r>
        <w:rPr>
          <w:i/>
          <w:iCs/>
        </w:rPr>
        <w:t>nosZ</w:t>
      </w:r>
      <w:proofErr w:type="spellEnd"/>
      <w:r>
        <w:t xml:space="preserve"> gene during typical SBR batches with either acetate or propionate as the primary carbon source. Fold change is relative to the 5 minute time point during the anaerobic period. Based on RT-qPCR results shown here, time points 30 minutes (anaerobic), 150 minutes (anoxic), and 270 minutes (aerobic) were selected for metatranscriptomic sequencing. </w:t>
      </w:r>
    </w:p>
    <w:p w14:paraId="55D03ADA" w14:textId="729A9163" w:rsidR="002775C8" w:rsidRDefault="0035347A">
      <w:pPr>
        <w:jc w:val="center"/>
        <w:rPr>
          <w:rFonts w:cs="Times New Roman"/>
        </w:rPr>
      </w:pPr>
      <w:r>
        <w:rPr>
          <w:rFonts w:cs="Times New Roman"/>
          <w:noProof/>
        </w:rPr>
        <w:drawing>
          <wp:inline distT="0" distB="0" distL="0" distR="0" wp14:anchorId="2AF6912E" wp14:editId="502C53CC">
            <wp:extent cx="5944235" cy="2072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4235" cy="2072640"/>
                    </a:xfrm>
                    <a:prstGeom prst="rect">
                      <a:avLst/>
                    </a:prstGeom>
                    <a:noFill/>
                  </pic:spPr>
                </pic:pic>
              </a:graphicData>
            </a:graphic>
          </wp:inline>
        </w:drawing>
      </w:r>
    </w:p>
    <w:p w14:paraId="2EC86918" w14:textId="77777777" w:rsidR="002775C8" w:rsidRDefault="002775C8">
      <w:pPr>
        <w:rPr>
          <w:rFonts w:cs="Times New Roman"/>
        </w:rPr>
      </w:pPr>
      <w:r>
        <w:rPr>
          <w:rFonts w:cs="Times New Roman"/>
        </w:rPr>
        <w:br w:type="page"/>
      </w:r>
    </w:p>
    <w:p w14:paraId="57DA73D5" w14:textId="5C9D31ED" w:rsidR="00581340" w:rsidRPr="0065677D" w:rsidRDefault="002775C8" w:rsidP="00551941">
      <w:pPr>
        <w:jc w:val="both"/>
        <w:rPr>
          <w:rFonts w:eastAsiaTheme="minorEastAsia" w:cs="Times New Roman"/>
        </w:rPr>
      </w:pPr>
      <w:r w:rsidRPr="0065677D">
        <w:rPr>
          <w:rFonts w:eastAsiaTheme="minorEastAsia" w:cs="Times New Roman"/>
          <w:b/>
          <w:bCs/>
        </w:rPr>
        <w:lastRenderedPageBreak/>
        <w:t>Table S3.</w:t>
      </w:r>
      <w:r w:rsidR="00251915">
        <w:rPr>
          <w:rFonts w:eastAsiaTheme="minorEastAsia" w:cs="Times New Roman"/>
          <w:b/>
          <w:bCs/>
        </w:rPr>
        <w:t xml:space="preserve"> </w:t>
      </w:r>
      <w:r w:rsidR="00CA47BD" w:rsidRPr="0065677D">
        <w:rPr>
          <w:rFonts w:eastAsiaTheme="minorEastAsia" w:cs="Times New Roman"/>
        </w:rPr>
        <w:t>Transcription</w:t>
      </w:r>
      <w:r w:rsidR="00E22D95">
        <w:rPr>
          <w:rFonts w:eastAsiaTheme="minorEastAsia" w:cs="Times New Roman"/>
        </w:rPr>
        <w:t>al</w:t>
      </w:r>
      <w:r w:rsidR="00CA47BD" w:rsidRPr="0065677D">
        <w:rPr>
          <w:rFonts w:eastAsiaTheme="minorEastAsia" w:cs="Times New Roman"/>
        </w:rPr>
        <w:t xml:space="preserve"> activities (represented by RNA-RPKM values) of the function</w:t>
      </w:r>
      <w:r w:rsidR="00E22D95">
        <w:rPr>
          <w:rFonts w:eastAsiaTheme="minorEastAsia" w:cs="Times New Roman"/>
        </w:rPr>
        <w:t>al</w:t>
      </w:r>
      <w:r w:rsidR="00CA47BD" w:rsidRPr="0065677D">
        <w:rPr>
          <w:rFonts w:eastAsiaTheme="minorEastAsia" w:cs="Times New Roman"/>
        </w:rPr>
        <w:t xml:space="preserve"> genes annotated </w:t>
      </w:r>
      <w:r w:rsidR="00E22D95">
        <w:rPr>
          <w:rFonts w:eastAsiaTheme="minorEastAsia" w:cs="Times New Roman"/>
        </w:rPr>
        <w:t>MAG GAO1, a</w:t>
      </w:r>
      <w:r w:rsidR="00CA47BD" w:rsidRPr="0065677D">
        <w:rPr>
          <w:rFonts w:eastAsiaTheme="minorEastAsia" w:cs="Times New Roman"/>
        </w:rPr>
        <w:t xml:space="preserve"> putative glycogen accumulating organism</w:t>
      </w:r>
      <w:r w:rsidR="00E22D95">
        <w:rPr>
          <w:rFonts w:eastAsiaTheme="minorEastAsia" w:cs="Times New Roman"/>
        </w:rPr>
        <w:t xml:space="preserve"> affiliated with </w:t>
      </w:r>
      <w:proofErr w:type="spellStart"/>
      <w:r w:rsidR="001E04B1">
        <w:rPr>
          <w:rFonts w:eastAsiaTheme="minorEastAsia" w:cs="Times New Roman"/>
        </w:rPr>
        <w:t>Competibacteraceae</w:t>
      </w:r>
      <w:proofErr w:type="spellEnd"/>
      <w:r w:rsidR="00CA47BD">
        <w:rPr>
          <w:rFonts w:eastAsiaTheme="minorEastAsia" w:cs="Times New Roman"/>
          <w:b/>
          <w:bCs/>
        </w:rPr>
        <w:t>.</w:t>
      </w:r>
      <w:r w:rsidR="00F637AD">
        <w:rPr>
          <w:rFonts w:eastAsiaTheme="minorEastAsia" w:cs="Times New Roman"/>
          <w:b/>
          <w:bCs/>
        </w:rPr>
        <w:t xml:space="preserve"> </w:t>
      </w:r>
      <w:r w:rsidR="00F637AD" w:rsidRPr="0065677D">
        <w:rPr>
          <w:rFonts w:eastAsiaTheme="minorEastAsia" w:cs="Times New Roman"/>
        </w:rPr>
        <w:t xml:space="preserve">Bolded </w:t>
      </w:r>
      <w:r w:rsidR="00E22D95">
        <w:rPr>
          <w:rFonts w:eastAsiaTheme="minorEastAsia" w:cs="Times New Roman"/>
        </w:rPr>
        <w:t xml:space="preserve">rows highlight </w:t>
      </w:r>
      <w:r w:rsidR="00F637AD" w:rsidRPr="0065677D">
        <w:rPr>
          <w:rFonts w:eastAsiaTheme="minorEastAsia" w:cs="Times New Roman"/>
        </w:rPr>
        <w:t>transcriptional activity of genes encoding NAD-dependent glyceraldehyde-3-phosphate dehydrogenase (involved in anaerobic glycogen hydrolysis) and phosphoenolpyruvate carboxykinase and pyruvate phosphate dikinase (involved in glycogen synthesis)</w:t>
      </w:r>
      <w:r w:rsidR="00F637AD">
        <w:rPr>
          <w:rFonts w:eastAsiaTheme="minorEastAsia" w:cs="Times New Roman"/>
        </w:rPr>
        <w:t>.</w:t>
      </w:r>
    </w:p>
    <w:p w14:paraId="19BFFEC5" w14:textId="77777777" w:rsidR="00251915" w:rsidRPr="0065677D" w:rsidRDefault="00251915" w:rsidP="002775C8">
      <w:pPr>
        <w:rPr>
          <w:rFonts w:eastAsiaTheme="minorEastAsia" w:cs="Times New Roman"/>
          <w:b/>
          <w:bCs/>
        </w:rPr>
      </w:pPr>
    </w:p>
    <w:p w14:paraId="38B79CCB" w14:textId="0FBDF534" w:rsidR="00251915" w:rsidRDefault="002775C8" w:rsidP="00551941">
      <w:pPr>
        <w:jc w:val="both"/>
        <w:rPr>
          <w:rFonts w:eastAsiaTheme="minorEastAsia" w:cs="Times New Roman"/>
        </w:rPr>
      </w:pPr>
      <w:r w:rsidRPr="0065677D">
        <w:rPr>
          <w:rFonts w:eastAsiaTheme="minorEastAsia" w:cs="Times New Roman"/>
          <w:b/>
          <w:bCs/>
        </w:rPr>
        <w:t>Table S4</w:t>
      </w:r>
      <w:r w:rsidR="00CA47BD">
        <w:rPr>
          <w:rFonts w:eastAsiaTheme="minorEastAsia" w:cs="Times New Roman"/>
          <w:b/>
          <w:bCs/>
        </w:rPr>
        <w:t xml:space="preserve">. </w:t>
      </w:r>
      <w:r w:rsidR="00976157" w:rsidRPr="0065677D">
        <w:rPr>
          <w:rFonts w:eastAsiaTheme="minorEastAsia" w:cs="Times New Roman"/>
        </w:rPr>
        <w:t>Detailed information on current</w:t>
      </w:r>
      <w:r w:rsidR="00E22D95">
        <w:rPr>
          <w:rFonts w:eastAsiaTheme="minorEastAsia" w:cs="Times New Roman"/>
        </w:rPr>
        <w:t xml:space="preserve"> publicly</w:t>
      </w:r>
      <w:r w:rsidR="00976157" w:rsidRPr="0065677D">
        <w:rPr>
          <w:rFonts w:eastAsiaTheme="minorEastAsia" w:cs="Times New Roman"/>
        </w:rPr>
        <w:t xml:space="preserve"> available </w:t>
      </w:r>
      <w:proofErr w:type="spellStart"/>
      <w:r w:rsidR="00976157" w:rsidRPr="0065677D">
        <w:rPr>
          <w:rFonts w:eastAsiaTheme="minorEastAsia" w:cs="Times New Roman"/>
        </w:rPr>
        <w:t>Accumulibacter</w:t>
      </w:r>
      <w:proofErr w:type="spellEnd"/>
      <w:r w:rsidR="00976157" w:rsidRPr="0065677D">
        <w:rPr>
          <w:rFonts w:eastAsiaTheme="minorEastAsia" w:cs="Times New Roman"/>
        </w:rPr>
        <w:t xml:space="preserve"> </w:t>
      </w:r>
      <w:r w:rsidR="00E22D95">
        <w:rPr>
          <w:rFonts w:eastAsiaTheme="minorEastAsia" w:cs="Times New Roman"/>
        </w:rPr>
        <w:t xml:space="preserve">and </w:t>
      </w:r>
      <w:proofErr w:type="spellStart"/>
      <w:r w:rsidR="00976157" w:rsidRPr="0065677D">
        <w:rPr>
          <w:rFonts w:eastAsiaTheme="minorEastAsia" w:cs="Times New Roman"/>
        </w:rPr>
        <w:t>Competibacteraceae</w:t>
      </w:r>
      <w:proofErr w:type="spellEnd"/>
      <w:r w:rsidR="00976157" w:rsidRPr="0065677D">
        <w:rPr>
          <w:rFonts w:eastAsiaTheme="minorEastAsia" w:cs="Times New Roman"/>
        </w:rPr>
        <w:t xml:space="preserve"> reference genomes, </w:t>
      </w:r>
      <w:r w:rsidR="00E22D95">
        <w:rPr>
          <w:rFonts w:eastAsiaTheme="minorEastAsia" w:cs="Times New Roman"/>
        </w:rPr>
        <w:t>including the</w:t>
      </w:r>
      <w:r w:rsidR="00976157" w:rsidRPr="0065677D">
        <w:rPr>
          <w:rFonts w:eastAsiaTheme="minorEastAsia" w:cs="Times New Roman"/>
        </w:rPr>
        <w:t xml:space="preserve"> ANI between GAO1 and the Competibacteraceae reference genomes, and the ANI between Acc-IF and the Accumulibacter reference genomes</w:t>
      </w:r>
      <w:r w:rsidR="00976157">
        <w:rPr>
          <w:rFonts w:eastAsiaTheme="minorEastAsia" w:cs="Times New Roman"/>
        </w:rPr>
        <w:t>.</w:t>
      </w:r>
    </w:p>
    <w:p w14:paraId="5EF805E6" w14:textId="77777777" w:rsidR="00976157" w:rsidRPr="00976157" w:rsidRDefault="00976157" w:rsidP="002775C8">
      <w:pPr>
        <w:rPr>
          <w:rFonts w:eastAsiaTheme="minorEastAsia" w:cs="Times New Roman"/>
        </w:rPr>
      </w:pPr>
    </w:p>
    <w:p w14:paraId="43A14ABC" w14:textId="057497DF" w:rsidR="002775C8" w:rsidRPr="0065677D" w:rsidRDefault="002775C8" w:rsidP="0065677D">
      <w:pPr>
        <w:rPr>
          <w:rFonts w:eastAsiaTheme="minorEastAsia" w:cs="Times New Roman"/>
          <w:b/>
          <w:bCs/>
        </w:rPr>
      </w:pPr>
      <w:r w:rsidRPr="0065677D">
        <w:rPr>
          <w:rFonts w:eastAsiaTheme="minorEastAsia" w:cs="Times New Roman"/>
          <w:b/>
          <w:bCs/>
        </w:rPr>
        <w:t>Table S5</w:t>
      </w:r>
      <w:r w:rsidR="006E6830">
        <w:rPr>
          <w:rFonts w:eastAsiaTheme="minorEastAsia" w:cs="Times New Roman"/>
          <w:b/>
          <w:bCs/>
        </w:rPr>
        <w:t xml:space="preserve">. </w:t>
      </w:r>
      <w:r w:rsidR="008E3CC3" w:rsidRPr="00DC1BA2">
        <w:rPr>
          <w:rFonts w:eastAsiaTheme="minorEastAsia" w:cs="Times New Roman"/>
        </w:rPr>
        <w:t>Transcription</w:t>
      </w:r>
      <w:r w:rsidR="00333891">
        <w:rPr>
          <w:rFonts w:eastAsiaTheme="minorEastAsia" w:cs="Times New Roman"/>
        </w:rPr>
        <w:t>al</w:t>
      </w:r>
      <w:r w:rsidR="008E3CC3" w:rsidRPr="00DC1BA2">
        <w:rPr>
          <w:rFonts w:eastAsiaTheme="minorEastAsia" w:cs="Times New Roman"/>
        </w:rPr>
        <w:t xml:space="preserve"> activities (represented by RNA-RPKM values) of </w:t>
      </w:r>
      <w:r w:rsidR="008E3CC3">
        <w:rPr>
          <w:rFonts w:eastAsiaTheme="minorEastAsia" w:cs="Times New Roman"/>
        </w:rPr>
        <w:t xml:space="preserve">key </w:t>
      </w:r>
      <w:r w:rsidR="008E3CC3" w:rsidRPr="00DC1BA2">
        <w:rPr>
          <w:rFonts w:eastAsiaTheme="minorEastAsia" w:cs="Times New Roman"/>
        </w:rPr>
        <w:t>function</w:t>
      </w:r>
      <w:r w:rsidR="008E3CC3">
        <w:rPr>
          <w:rFonts w:eastAsiaTheme="minorEastAsia" w:cs="Times New Roman"/>
        </w:rPr>
        <w:t>al</w:t>
      </w:r>
      <w:r w:rsidR="008E3CC3" w:rsidRPr="00DC1BA2">
        <w:rPr>
          <w:rFonts w:eastAsiaTheme="minorEastAsia" w:cs="Times New Roman"/>
        </w:rPr>
        <w:t xml:space="preserve"> genes annotated in </w:t>
      </w:r>
      <w:r w:rsidR="008E3CC3">
        <w:rPr>
          <w:rFonts w:eastAsiaTheme="minorEastAsia" w:cs="Times New Roman"/>
        </w:rPr>
        <w:t>all the 32 high-quality MAGs recovered in this study.</w:t>
      </w:r>
    </w:p>
    <w:p w14:paraId="306E9636" w14:textId="77777777" w:rsidR="00581340" w:rsidRDefault="0035347A">
      <w:pPr>
        <w:rPr>
          <w:rFonts w:cs="Times New Roman"/>
        </w:rPr>
      </w:pPr>
      <w:r>
        <w:rPr>
          <w:rFonts w:cs="Times New Roman"/>
        </w:rPr>
        <w:br w:type="page"/>
      </w:r>
    </w:p>
    <w:p w14:paraId="1D85675E" w14:textId="627BCBD9" w:rsidR="00581340" w:rsidRDefault="0035347A">
      <w:pPr>
        <w:jc w:val="center"/>
      </w:pPr>
      <w:r w:rsidRPr="00333891">
        <w:rPr>
          <w:rFonts w:cs="Times New Roman"/>
          <w:b/>
        </w:rPr>
        <w:lastRenderedPageBreak/>
        <w:t xml:space="preserve">Table </w:t>
      </w:r>
      <w:r w:rsidR="00CB2D4D" w:rsidRPr="00333891">
        <w:rPr>
          <w:rFonts w:cs="Times New Roman"/>
          <w:b/>
        </w:rPr>
        <w:t>S</w:t>
      </w:r>
      <w:r w:rsidR="00CB2D4D">
        <w:rPr>
          <w:rFonts w:cs="Times New Roman"/>
          <w:b/>
        </w:rPr>
        <w:t>6</w:t>
      </w:r>
      <w:r>
        <w:rPr>
          <w:rFonts w:cs="Times New Roman"/>
        </w:rPr>
        <w:t>. Summary statistics for metagenom</w:t>
      </w:r>
      <w:r>
        <w:rPr>
          <w:rFonts w:cs="Times New Roman" w:hint="eastAsia"/>
        </w:rPr>
        <w:t>ic</w:t>
      </w:r>
      <w:r>
        <w:rPr>
          <w:rFonts w:cs="Times New Roman"/>
        </w:rPr>
        <w:t xml:space="preserve"> sequencing and assembly</w:t>
      </w:r>
    </w:p>
    <w:tbl>
      <w:tblPr>
        <w:tblW w:w="10637" w:type="dxa"/>
        <w:jc w:val="center"/>
        <w:tblLayout w:type="fixed"/>
        <w:tblLook w:val="04A0" w:firstRow="1" w:lastRow="0" w:firstColumn="1" w:lastColumn="0" w:noHBand="0" w:noVBand="1"/>
      </w:tblPr>
      <w:tblGrid>
        <w:gridCol w:w="1524"/>
        <w:gridCol w:w="1493"/>
        <w:gridCol w:w="1600"/>
        <w:gridCol w:w="740"/>
        <w:gridCol w:w="1567"/>
        <w:gridCol w:w="1113"/>
        <w:gridCol w:w="1317"/>
        <w:gridCol w:w="1283"/>
      </w:tblGrid>
      <w:tr w:rsidR="00581340" w14:paraId="207FF576" w14:textId="77777777">
        <w:trPr>
          <w:trHeight w:val="520"/>
          <w:jc w:val="center"/>
        </w:trPr>
        <w:tc>
          <w:tcPr>
            <w:tcW w:w="1524" w:type="dxa"/>
            <w:tcBorders>
              <w:top w:val="single" w:sz="8" w:space="0" w:color="auto"/>
              <w:left w:val="nil"/>
              <w:bottom w:val="single" w:sz="4" w:space="0" w:color="auto"/>
              <w:right w:val="nil"/>
            </w:tcBorders>
            <w:shd w:val="clear" w:color="auto" w:fill="auto"/>
            <w:vAlign w:val="center"/>
          </w:tcPr>
          <w:p w14:paraId="21DB3B25" w14:textId="77777777" w:rsidR="00581340" w:rsidRDefault="00581340">
            <w:pPr>
              <w:rPr>
                <w:rFonts w:cs="Times New Roman"/>
                <w:sz w:val="22"/>
                <w:szCs w:val="22"/>
              </w:rPr>
            </w:pPr>
          </w:p>
        </w:tc>
        <w:tc>
          <w:tcPr>
            <w:tcW w:w="1493" w:type="dxa"/>
            <w:tcBorders>
              <w:top w:val="single" w:sz="8" w:space="0" w:color="auto"/>
              <w:left w:val="nil"/>
              <w:bottom w:val="single" w:sz="4" w:space="0" w:color="auto"/>
              <w:right w:val="nil"/>
            </w:tcBorders>
            <w:shd w:val="clear" w:color="auto" w:fill="auto"/>
            <w:vAlign w:val="center"/>
          </w:tcPr>
          <w:p w14:paraId="7278C48B" w14:textId="77777777" w:rsidR="00581340" w:rsidRDefault="0035347A">
            <w:pPr>
              <w:jc w:val="center"/>
              <w:rPr>
                <w:rFonts w:eastAsia="Times New Roman" w:cs="Times New Roman"/>
                <w:iCs/>
                <w:sz w:val="22"/>
                <w:szCs w:val="22"/>
              </w:rPr>
            </w:pPr>
            <w:r>
              <w:rPr>
                <w:rFonts w:eastAsia="Times New Roman" w:cs="Times New Roman"/>
                <w:iCs/>
                <w:sz w:val="22"/>
                <w:szCs w:val="22"/>
              </w:rPr>
              <w:t>Total reads (</w:t>
            </w:r>
            <w:proofErr w:type="spellStart"/>
            <w:r>
              <w:rPr>
                <w:rFonts w:eastAsia="Times New Roman" w:cs="Times New Roman"/>
                <w:iCs/>
                <w:sz w:val="22"/>
                <w:szCs w:val="22"/>
              </w:rPr>
              <w:t>Gbp</w:t>
            </w:r>
            <w:proofErr w:type="spellEnd"/>
            <w:r>
              <w:rPr>
                <w:rFonts w:eastAsia="Times New Roman" w:cs="Times New Roman"/>
                <w:iCs/>
                <w:sz w:val="22"/>
                <w:szCs w:val="22"/>
              </w:rPr>
              <w:t>)</w:t>
            </w:r>
          </w:p>
        </w:tc>
        <w:tc>
          <w:tcPr>
            <w:tcW w:w="1600" w:type="dxa"/>
            <w:tcBorders>
              <w:top w:val="single" w:sz="8" w:space="0" w:color="auto"/>
              <w:left w:val="nil"/>
              <w:bottom w:val="single" w:sz="4" w:space="0" w:color="auto"/>
              <w:right w:val="nil"/>
            </w:tcBorders>
            <w:shd w:val="clear" w:color="auto" w:fill="auto"/>
            <w:vAlign w:val="center"/>
          </w:tcPr>
          <w:p w14:paraId="1E18FAFD" w14:textId="77777777" w:rsidR="00581340" w:rsidRDefault="0035347A">
            <w:pPr>
              <w:jc w:val="center"/>
              <w:rPr>
                <w:rFonts w:eastAsia="Times New Roman" w:cs="Times New Roman"/>
                <w:iCs/>
                <w:sz w:val="22"/>
                <w:szCs w:val="22"/>
              </w:rPr>
            </w:pPr>
            <w:r>
              <w:rPr>
                <w:rFonts w:eastAsia="Times New Roman" w:cs="Times New Roman"/>
                <w:iCs/>
                <w:sz w:val="22"/>
                <w:szCs w:val="22"/>
              </w:rPr>
              <w:t>Filtered Reads</w:t>
            </w:r>
            <w:r>
              <w:rPr>
                <w:rFonts w:eastAsia="Times New Roman" w:cs="Times New Roman" w:hint="eastAsia"/>
                <w:iCs/>
                <w:sz w:val="22"/>
                <w:szCs w:val="22"/>
              </w:rPr>
              <w:t xml:space="preserve"> (</w:t>
            </w:r>
            <w:proofErr w:type="spellStart"/>
            <w:r>
              <w:rPr>
                <w:rFonts w:eastAsia="Times New Roman" w:cs="Times New Roman" w:hint="eastAsia"/>
                <w:iCs/>
                <w:sz w:val="22"/>
                <w:szCs w:val="22"/>
              </w:rPr>
              <w:t>Gbp</w:t>
            </w:r>
            <w:proofErr w:type="spellEnd"/>
            <w:r>
              <w:rPr>
                <w:rFonts w:eastAsia="Times New Roman" w:cs="Times New Roman" w:hint="eastAsia"/>
                <w:iCs/>
                <w:sz w:val="22"/>
                <w:szCs w:val="22"/>
              </w:rPr>
              <w:t>)</w:t>
            </w:r>
          </w:p>
        </w:tc>
        <w:tc>
          <w:tcPr>
            <w:tcW w:w="740" w:type="dxa"/>
            <w:tcBorders>
              <w:top w:val="single" w:sz="8" w:space="0" w:color="auto"/>
              <w:left w:val="nil"/>
              <w:bottom w:val="single" w:sz="4" w:space="0" w:color="auto"/>
              <w:right w:val="nil"/>
            </w:tcBorders>
            <w:shd w:val="clear" w:color="auto" w:fill="auto"/>
            <w:vAlign w:val="center"/>
          </w:tcPr>
          <w:p w14:paraId="3F61845E" w14:textId="77777777" w:rsidR="00581340" w:rsidRDefault="0035347A">
            <w:pPr>
              <w:jc w:val="center"/>
              <w:rPr>
                <w:rFonts w:eastAsia="Times New Roman" w:cs="Times New Roman"/>
                <w:iCs/>
                <w:sz w:val="22"/>
                <w:szCs w:val="22"/>
              </w:rPr>
            </w:pPr>
            <w:proofErr w:type="spellStart"/>
            <w:r>
              <w:rPr>
                <w:rFonts w:eastAsia="Times New Roman" w:cs="Times New Roman"/>
                <w:iCs/>
                <w:sz w:val="22"/>
                <w:szCs w:val="22"/>
              </w:rPr>
              <w:t>kmer</w:t>
            </w:r>
            <w:proofErr w:type="spellEnd"/>
          </w:p>
        </w:tc>
        <w:tc>
          <w:tcPr>
            <w:tcW w:w="1567" w:type="dxa"/>
            <w:tcBorders>
              <w:top w:val="single" w:sz="8" w:space="0" w:color="auto"/>
              <w:left w:val="nil"/>
              <w:bottom w:val="single" w:sz="4" w:space="0" w:color="auto"/>
              <w:right w:val="nil"/>
            </w:tcBorders>
            <w:shd w:val="clear" w:color="auto" w:fill="auto"/>
            <w:vAlign w:val="center"/>
          </w:tcPr>
          <w:p w14:paraId="1B1FD66E" w14:textId="77777777" w:rsidR="00581340" w:rsidRDefault="0035347A">
            <w:pPr>
              <w:jc w:val="center"/>
              <w:rPr>
                <w:rFonts w:eastAsia="Times New Roman" w:cs="Times New Roman"/>
                <w:iCs/>
                <w:sz w:val="22"/>
                <w:szCs w:val="22"/>
              </w:rPr>
            </w:pPr>
            <w:r>
              <w:rPr>
                <w:rFonts w:eastAsia="Times New Roman" w:cs="Times New Roman" w:hint="eastAsia"/>
                <w:iCs/>
                <w:sz w:val="22"/>
                <w:szCs w:val="22"/>
              </w:rPr>
              <w:t xml:space="preserve">Total </w:t>
            </w:r>
            <w:r>
              <w:rPr>
                <w:rFonts w:eastAsia="Times New Roman" w:cs="Times New Roman"/>
                <w:iCs/>
                <w:sz w:val="22"/>
                <w:szCs w:val="22"/>
              </w:rPr>
              <w:t>assembled reads (</w:t>
            </w:r>
            <w:proofErr w:type="spellStart"/>
            <w:r>
              <w:rPr>
                <w:rFonts w:eastAsia="Times New Roman" w:cs="Times New Roman"/>
                <w:iCs/>
                <w:sz w:val="22"/>
                <w:szCs w:val="22"/>
              </w:rPr>
              <w:t>Gbp</w:t>
            </w:r>
            <w:proofErr w:type="spellEnd"/>
            <w:r>
              <w:rPr>
                <w:rFonts w:eastAsia="Times New Roman" w:cs="Times New Roman"/>
                <w:iCs/>
                <w:sz w:val="22"/>
                <w:szCs w:val="22"/>
              </w:rPr>
              <w:t>)</w:t>
            </w:r>
          </w:p>
        </w:tc>
        <w:tc>
          <w:tcPr>
            <w:tcW w:w="1113" w:type="dxa"/>
            <w:tcBorders>
              <w:top w:val="single" w:sz="8" w:space="0" w:color="auto"/>
              <w:left w:val="nil"/>
              <w:bottom w:val="single" w:sz="4" w:space="0" w:color="auto"/>
              <w:right w:val="nil"/>
            </w:tcBorders>
            <w:shd w:val="clear" w:color="auto" w:fill="auto"/>
            <w:vAlign w:val="center"/>
          </w:tcPr>
          <w:p w14:paraId="2F71E9FE" w14:textId="77777777" w:rsidR="00581340" w:rsidRDefault="0035347A">
            <w:pPr>
              <w:jc w:val="center"/>
              <w:rPr>
                <w:rFonts w:eastAsia="Times New Roman" w:cs="Times New Roman"/>
                <w:iCs/>
                <w:sz w:val="22"/>
                <w:szCs w:val="22"/>
              </w:rPr>
            </w:pPr>
            <w:r>
              <w:rPr>
                <w:rFonts w:eastAsia="Times New Roman" w:cs="Times New Roman"/>
                <w:iCs/>
                <w:sz w:val="22"/>
                <w:szCs w:val="22"/>
              </w:rPr>
              <w:t>Longest contig</w:t>
            </w:r>
          </w:p>
        </w:tc>
        <w:tc>
          <w:tcPr>
            <w:tcW w:w="1317" w:type="dxa"/>
            <w:tcBorders>
              <w:top w:val="single" w:sz="8" w:space="0" w:color="auto"/>
              <w:left w:val="nil"/>
              <w:bottom w:val="single" w:sz="4" w:space="0" w:color="auto"/>
              <w:right w:val="nil"/>
            </w:tcBorders>
            <w:shd w:val="clear" w:color="auto" w:fill="auto"/>
            <w:vAlign w:val="center"/>
          </w:tcPr>
          <w:p w14:paraId="402A794F" w14:textId="77777777" w:rsidR="00581340" w:rsidRDefault="0035347A">
            <w:pPr>
              <w:jc w:val="center"/>
              <w:rPr>
                <w:rFonts w:eastAsia="Times New Roman" w:cs="Times New Roman"/>
                <w:iCs/>
                <w:sz w:val="22"/>
                <w:szCs w:val="22"/>
              </w:rPr>
            </w:pPr>
            <w:r>
              <w:rPr>
                <w:rFonts w:eastAsia="Times New Roman" w:cs="Times New Roman"/>
                <w:iCs/>
                <w:sz w:val="22"/>
                <w:szCs w:val="22"/>
              </w:rPr>
              <w:t># of Contigs</w:t>
            </w:r>
          </w:p>
        </w:tc>
        <w:tc>
          <w:tcPr>
            <w:tcW w:w="1283" w:type="dxa"/>
            <w:tcBorders>
              <w:top w:val="single" w:sz="8" w:space="0" w:color="auto"/>
              <w:left w:val="nil"/>
              <w:bottom w:val="single" w:sz="4" w:space="0" w:color="auto"/>
              <w:right w:val="nil"/>
            </w:tcBorders>
            <w:shd w:val="clear" w:color="auto" w:fill="auto"/>
            <w:vAlign w:val="center"/>
          </w:tcPr>
          <w:p w14:paraId="387CA2D7" w14:textId="77777777" w:rsidR="00581340" w:rsidRDefault="0035347A">
            <w:pPr>
              <w:jc w:val="center"/>
              <w:rPr>
                <w:rFonts w:eastAsia="Times New Roman" w:cs="Times New Roman"/>
                <w:iCs/>
                <w:sz w:val="22"/>
                <w:szCs w:val="22"/>
              </w:rPr>
            </w:pPr>
            <w:r>
              <w:rPr>
                <w:rFonts w:eastAsia="Times New Roman" w:cs="Times New Roman"/>
                <w:iCs/>
                <w:sz w:val="22"/>
                <w:szCs w:val="22"/>
              </w:rPr>
              <w:t>N50* (Contigs)</w:t>
            </w:r>
          </w:p>
        </w:tc>
      </w:tr>
      <w:tr w:rsidR="00581340" w14:paraId="459CAA5E" w14:textId="77777777">
        <w:trPr>
          <w:trHeight w:val="320"/>
          <w:jc w:val="center"/>
        </w:trPr>
        <w:tc>
          <w:tcPr>
            <w:tcW w:w="1524" w:type="dxa"/>
            <w:tcBorders>
              <w:top w:val="single" w:sz="4" w:space="0" w:color="auto"/>
              <w:left w:val="nil"/>
              <w:bottom w:val="nil"/>
              <w:right w:val="nil"/>
            </w:tcBorders>
            <w:shd w:val="clear" w:color="auto" w:fill="auto"/>
            <w:noWrap/>
            <w:vAlign w:val="center"/>
          </w:tcPr>
          <w:p w14:paraId="67F88429" w14:textId="77777777" w:rsidR="00581340" w:rsidRDefault="0035347A">
            <w:pPr>
              <w:rPr>
                <w:rFonts w:eastAsia="Times New Roman" w:cs="Times New Roman"/>
                <w:iCs/>
                <w:sz w:val="22"/>
                <w:szCs w:val="22"/>
                <w:vertAlign w:val="superscript"/>
              </w:rPr>
            </w:pPr>
            <w:r>
              <w:rPr>
                <w:rFonts w:eastAsia="Times New Roman" w:cs="Times New Roman"/>
                <w:iCs/>
                <w:sz w:val="22"/>
                <w:szCs w:val="22"/>
              </w:rPr>
              <w:t>DNA-Total</w:t>
            </w:r>
            <w:r>
              <w:rPr>
                <w:rFonts w:eastAsia="Times New Roman" w:cs="Times New Roman"/>
                <w:iCs/>
                <w:sz w:val="22"/>
                <w:szCs w:val="22"/>
                <w:vertAlign w:val="superscript"/>
              </w:rPr>
              <w:t>*</w:t>
            </w:r>
          </w:p>
        </w:tc>
        <w:tc>
          <w:tcPr>
            <w:tcW w:w="1493" w:type="dxa"/>
            <w:tcBorders>
              <w:top w:val="single" w:sz="4" w:space="0" w:color="auto"/>
              <w:left w:val="nil"/>
              <w:bottom w:val="nil"/>
              <w:right w:val="nil"/>
            </w:tcBorders>
            <w:shd w:val="clear" w:color="auto" w:fill="auto"/>
            <w:noWrap/>
            <w:vAlign w:val="center"/>
          </w:tcPr>
          <w:p w14:paraId="43F2FFFF" w14:textId="77777777" w:rsidR="00581340" w:rsidRDefault="0035347A">
            <w:pPr>
              <w:jc w:val="center"/>
              <w:rPr>
                <w:rFonts w:eastAsia="Times New Roman" w:cs="Times New Roman"/>
                <w:iCs/>
                <w:sz w:val="22"/>
                <w:szCs w:val="22"/>
              </w:rPr>
            </w:pPr>
            <w:r>
              <w:rPr>
                <w:rFonts w:eastAsia="Times New Roman" w:cs="Times New Roman"/>
                <w:iCs/>
                <w:sz w:val="22"/>
                <w:szCs w:val="22"/>
              </w:rPr>
              <w:t>9.1</w:t>
            </w:r>
          </w:p>
        </w:tc>
        <w:tc>
          <w:tcPr>
            <w:tcW w:w="1600" w:type="dxa"/>
            <w:tcBorders>
              <w:top w:val="single" w:sz="4" w:space="0" w:color="auto"/>
              <w:left w:val="nil"/>
              <w:bottom w:val="nil"/>
              <w:right w:val="nil"/>
            </w:tcBorders>
            <w:shd w:val="clear" w:color="auto" w:fill="auto"/>
            <w:noWrap/>
            <w:vAlign w:val="center"/>
          </w:tcPr>
          <w:p w14:paraId="5C53B114" w14:textId="77777777" w:rsidR="00581340" w:rsidRDefault="0035347A">
            <w:pPr>
              <w:jc w:val="center"/>
              <w:rPr>
                <w:rFonts w:eastAsia="Times New Roman" w:cs="Times New Roman"/>
                <w:iCs/>
                <w:sz w:val="22"/>
                <w:szCs w:val="22"/>
              </w:rPr>
            </w:pPr>
            <w:r>
              <w:rPr>
                <w:rFonts w:eastAsia="Times New Roman" w:cs="Times New Roman"/>
                <w:iCs/>
                <w:sz w:val="22"/>
                <w:szCs w:val="22"/>
              </w:rPr>
              <w:t>8.6</w:t>
            </w:r>
          </w:p>
        </w:tc>
        <w:tc>
          <w:tcPr>
            <w:tcW w:w="740" w:type="dxa"/>
            <w:tcBorders>
              <w:top w:val="single" w:sz="4" w:space="0" w:color="auto"/>
              <w:left w:val="nil"/>
              <w:bottom w:val="nil"/>
              <w:right w:val="nil"/>
            </w:tcBorders>
            <w:shd w:val="clear" w:color="auto" w:fill="auto"/>
            <w:noWrap/>
            <w:vAlign w:val="center"/>
          </w:tcPr>
          <w:p w14:paraId="11BD2522" w14:textId="77777777" w:rsidR="00581340" w:rsidRDefault="0035347A">
            <w:pPr>
              <w:jc w:val="center"/>
              <w:rPr>
                <w:rFonts w:eastAsia="Times New Roman" w:cs="Times New Roman"/>
                <w:iCs/>
                <w:sz w:val="22"/>
                <w:szCs w:val="22"/>
              </w:rPr>
            </w:pPr>
            <w:r>
              <w:rPr>
                <w:rFonts w:eastAsia="Times New Roman" w:cs="Times New Roman"/>
                <w:iCs/>
                <w:sz w:val="22"/>
                <w:szCs w:val="22"/>
              </w:rPr>
              <w:t>70</w:t>
            </w:r>
          </w:p>
        </w:tc>
        <w:tc>
          <w:tcPr>
            <w:tcW w:w="1567" w:type="dxa"/>
            <w:tcBorders>
              <w:top w:val="single" w:sz="4" w:space="0" w:color="auto"/>
              <w:left w:val="nil"/>
              <w:bottom w:val="nil"/>
              <w:right w:val="nil"/>
            </w:tcBorders>
            <w:shd w:val="clear" w:color="auto" w:fill="auto"/>
            <w:noWrap/>
            <w:vAlign w:val="center"/>
          </w:tcPr>
          <w:p w14:paraId="20464D2A" w14:textId="77777777" w:rsidR="00581340" w:rsidRDefault="0035347A">
            <w:pPr>
              <w:jc w:val="center"/>
              <w:rPr>
                <w:rFonts w:eastAsia="Times New Roman" w:cs="Times New Roman"/>
                <w:iCs/>
                <w:sz w:val="22"/>
                <w:szCs w:val="22"/>
              </w:rPr>
            </w:pPr>
            <w:r>
              <w:rPr>
                <w:rFonts w:eastAsia="Times New Roman" w:cs="Times New Roman"/>
                <w:iCs/>
                <w:sz w:val="22"/>
                <w:szCs w:val="22"/>
              </w:rPr>
              <w:t>0.36</w:t>
            </w:r>
          </w:p>
        </w:tc>
        <w:tc>
          <w:tcPr>
            <w:tcW w:w="1113" w:type="dxa"/>
            <w:tcBorders>
              <w:top w:val="single" w:sz="4" w:space="0" w:color="auto"/>
              <w:left w:val="nil"/>
              <w:bottom w:val="nil"/>
              <w:right w:val="nil"/>
            </w:tcBorders>
            <w:shd w:val="clear" w:color="auto" w:fill="auto"/>
            <w:noWrap/>
            <w:vAlign w:val="center"/>
          </w:tcPr>
          <w:p w14:paraId="440B067F" w14:textId="77777777" w:rsidR="00581340" w:rsidRDefault="0035347A">
            <w:pPr>
              <w:jc w:val="center"/>
              <w:rPr>
                <w:rFonts w:eastAsia="Times New Roman" w:cs="Times New Roman"/>
                <w:iCs/>
                <w:sz w:val="22"/>
                <w:szCs w:val="22"/>
              </w:rPr>
            </w:pPr>
            <w:r>
              <w:rPr>
                <w:rFonts w:eastAsia="Times New Roman" w:cs="Times New Roman"/>
                <w:iCs/>
                <w:sz w:val="22"/>
                <w:szCs w:val="22"/>
              </w:rPr>
              <w:t>331,655</w:t>
            </w:r>
          </w:p>
        </w:tc>
        <w:tc>
          <w:tcPr>
            <w:tcW w:w="1317" w:type="dxa"/>
            <w:tcBorders>
              <w:top w:val="single" w:sz="4" w:space="0" w:color="auto"/>
              <w:left w:val="nil"/>
              <w:bottom w:val="nil"/>
              <w:right w:val="nil"/>
            </w:tcBorders>
            <w:shd w:val="clear" w:color="auto" w:fill="auto"/>
            <w:noWrap/>
            <w:vAlign w:val="center"/>
          </w:tcPr>
          <w:p w14:paraId="7604FF7D" w14:textId="77777777" w:rsidR="00581340" w:rsidRDefault="0035347A">
            <w:pPr>
              <w:jc w:val="center"/>
              <w:rPr>
                <w:rFonts w:eastAsia="Times New Roman" w:cs="Times New Roman"/>
                <w:iCs/>
                <w:sz w:val="22"/>
                <w:szCs w:val="22"/>
              </w:rPr>
            </w:pPr>
            <w:r>
              <w:rPr>
                <w:rFonts w:eastAsia="Times New Roman" w:cs="Times New Roman"/>
                <w:iCs/>
                <w:sz w:val="22"/>
                <w:szCs w:val="22"/>
              </w:rPr>
              <w:t>165,316</w:t>
            </w:r>
          </w:p>
        </w:tc>
        <w:tc>
          <w:tcPr>
            <w:tcW w:w="1283" w:type="dxa"/>
            <w:tcBorders>
              <w:top w:val="single" w:sz="4" w:space="0" w:color="auto"/>
              <w:left w:val="nil"/>
              <w:bottom w:val="nil"/>
              <w:right w:val="nil"/>
            </w:tcBorders>
            <w:shd w:val="clear" w:color="auto" w:fill="auto"/>
            <w:noWrap/>
            <w:vAlign w:val="center"/>
          </w:tcPr>
          <w:p w14:paraId="38CA57F2" w14:textId="77777777" w:rsidR="00581340" w:rsidRDefault="0035347A">
            <w:pPr>
              <w:jc w:val="center"/>
              <w:rPr>
                <w:rFonts w:eastAsia="Times New Roman" w:cs="Times New Roman"/>
                <w:iCs/>
                <w:sz w:val="22"/>
                <w:szCs w:val="22"/>
              </w:rPr>
            </w:pPr>
            <w:r>
              <w:rPr>
                <w:rFonts w:eastAsia="Times New Roman" w:cs="Times New Roman"/>
                <w:iCs/>
                <w:sz w:val="22"/>
                <w:szCs w:val="22"/>
              </w:rPr>
              <w:t>3,707</w:t>
            </w:r>
          </w:p>
        </w:tc>
      </w:tr>
      <w:tr w:rsidR="00581340" w14:paraId="55299F01" w14:textId="77777777">
        <w:trPr>
          <w:trHeight w:val="320"/>
          <w:jc w:val="center"/>
        </w:trPr>
        <w:tc>
          <w:tcPr>
            <w:tcW w:w="1524" w:type="dxa"/>
            <w:tcBorders>
              <w:top w:val="nil"/>
              <w:left w:val="nil"/>
              <w:right w:val="nil"/>
            </w:tcBorders>
            <w:shd w:val="clear" w:color="auto" w:fill="auto"/>
            <w:noWrap/>
            <w:vAlign w:val="center"/>
          </w:tcPr>
          <w:p w14:paraId="2640AE9E" w14:textId="77777777" w:rsidR="00581340" w:rsidRDefault="0035347A">
            <w:pPr>
              <w:rPr>
                <w:rFonts w:eastAsia="Times New Roman" w:cs="Times New Roman"/>
                <w:iCs/>
                <w:sz w:val="22"/>
                <w:szCs w:val="22"/>
              </w:rPr>
            </w:pPr>
            <w:r>
              <w:rPr>
                <w:rFonts w:eastAsia="Times New Roman" w:cs="Times New Roman"/>
                <w:iCs/>
                <w:sz w:val="22"/>
                <w:szCs w:val="22"/>
              </w:rPr>
              <w:t>DNA-L-350</w:t>
            </w:r>
          </w:p>
        </w:tc>
        <w:tc>
          <w:tcPr>
            <w:tcW w:w="1493" w:type="dxa"/>
            <w:tcBorders>
              <w:top w:val="nil"/>
              <w:left w:val="nil"/>
              <w:right w:val="nil"/>
            </w:tcBorders>
            <w:shd w:val="clear" w:color="auto" w:fill="auto"/>
            <w:noWrap/>
            <w:vAlign w:val="center"/>
          </w:tcPr>
          <w:p w14:paraId="1A77AE67" w14:textId="77777777" w:rsidR="00581340" w:rsidRDefault="0035347A">
            <w:pPr>
              <w:jc w:val="center"/>
              <w:rPr>
                <w:rFonts w:eastAsia="Times New Roman" w:cs="Times New Roman"/>
                <w:iCs/>
                <w:sz w:val="22"/>
                <w:szCs w:val="22"/>
              </w:rPr>
            </w:pPr>
            <w:r>
              <w:rPr>
                <w:rFonts w:eastAsia="Times New Roman" w:cs="Times New Roman"/>
                <w:iCs/>
                <w:sz w:val="22"/>
                <w:szCs w:val="22"/>
              </w:rPr>
              <w:t>27.1</w:t>
            </w:r>
          </w:p>
        </w:tc>
        <w:tc>
          <w:tcPr>
            <w:tcW w:w="1600" w:type="dxa"/>
            <w:tcBorders>
              <w:top w:val="nil"/>
              <w:left w:val="nil"/>
              <w:right w:val="nil"/>
            </w:tcBorders>
            <w:shd w:val="clear" w:color="auto" w:fill="auto"/>
            <w:noWrap/>
            <w:vAlign w:val="center"/>
          </w:tcPr>
          <w:p w14:paraId="7C6A786F" w14:textId="77777777" w:rsidR="00581340" w:rsidRDefault="0035347A">
            <w:pPr>
              <w:jc w:val="center"/>
              <w:rPr>
                <w:rFonts w:eastAsia="Times New Roman" w:cs="Times New Roman"/>
                <w:iCs/>
                <w:sz w:val="22"/>
                <w:szCs w:val="22"/>
              </w:rPr>
            </w:pPr>
            <w:r>
              <w:rPr>
                <w:rFonts w:eastAsia="Times New Roman" w:cs="Times New Roman"/>
                <w:iCs/>
                <w:sz w:val="22"/>
                <w:szCs w:val="22"/>
              </w:rPr>
              <w:t>26.3</w:t>
            </w:r>
          </w:p>
        </w:tc>
        <w:tc>
          <w:tcPr>
            <w:tcW w:w="740" w:type="dxa"/>
            <w:tcBorders>
              <w:top w:val="nil"/>
              <w:left w:val="nil"/>
              <w:right w:val="nil"/>
            </w:tcBorders>
            <w:shd w:val="clear" w:color="auto" w:fill="auto"/>
            <w:noWrap/>
            <w:vAlign w:val="center"/>
          </w:tcPr>
          <w:p w14:paraId="1B9B446B" w14:textId="77777777" w:rsidR="00581340" w:rsidRDefault="0035347A">
            <w:pPr>
              <w:jc w:val="center"/>
              <w:rPr>
                <w:rFonts w:eastAsia="Times New Roman" w:cs="Times New Roman"/>
                <w:iCs/>
                <w:sz w:val="22"/>
                <w:szCs w:val="22"/>
              </w:rPr>
            </w:pPr>
            <w:r>
              <w:rPr>
                <w:rFonts w:eastAsia="Times New Roman" w:cs="Times New Roman"/>
                <w:iCs/>
                <w:sz w:val="22"/>
                <w:szCs w:val="22"/>
              </w:rPr>
              <w:t>70</w:t>
            </w:r>
          </w:p>
        </w:tc>
        <w:tc>
          <w:tcPr>
            <w:tcW w:w="1567" w:type="dxa"/>
            <w:tcBorders>
              <w:top w:val="nil"/>
              <w:left w:val="nil"/>
              <w:right w:val="nil"/>
            </w:tcBorders>
            <w:shd w:val="clear" w:color="auto" w:fill="auto"/>
            <w:noWrap/>
            <w:vAlign w:val="center"/>
          </w:tcPr>
          <w:p w14:paraId="2E9C8DB8" w14:textId="77777777" w:rsidR="00581340" w:rsidRDefault="0035347A">
            <w:pPr>
              <w:jc w:val="center"/>
              <w:rPr>
                <w:rFonts w:eastAsia="Times New Roman" w:cs="Times New Roman"/>
                <w:iCs/>
                <w:sz w:val="22"/>
                <w:szCs w:val="22"/>
              </w:rPr>
            </w:pPr>
            <w:r>
              <w:rPr>
                <w:rFonts w:eastAsia="Times New Roman" w:cs="Times New Roman"/>
                <w:iCs/>
                <w:sz w:val="22"/>
                <w:szCs w:val="22"/>
              </w:rPr>
              <w:t>0.26</w:t>
            </w:r>
          </w:p>
        </w:tc>
        <w:tc>
          <w:tcPr>
            <w:tcW w:w="1113" w:type="dxa"/>
            <w:tcBorders>
              <w:top w:val="nil"/>
              <w:left w:val="nil"/>
              <w:right w:val="nil"/>
            </w:tcBorders>
            <w:shd w:val="clear" w:color="auto" w:fill="auto"/>
            <w:noWrap/>
            <w:vAlign w:val="center"/>
          </w:tcPr>
          <w:p w14:paraId="46F5A54F" w14:textId="77777777" w:rsidR="00581340" w:rsidRDefault="0035347A">
            <w:pPr>
              <w:jc w:val="center"/>
              <w:rPr>
                <w:rFonts w:eastAsia="Times New Roman" w:cs="Times New Roman"/>
                <w:iCs/>
                <w:sz w:val="22"/>
                <w:szCs w:val="22"/>
              </w:rPr>
            </w:pPr>
            <w:r>
              <w:rPr>
                <w:rFonts w:eastAsia="Times New Roman" w:cs="Times New Roman"/>
                <w:iCs/>
                <w:sz w:val="22"/>
                <w:szCs w:val="22"/>
              </w:rPr>
              <w:t>209,078</w:t>
            </w:r>
          </w:p>
        </w:tc>
        <w:tc>
          <w:tcPr>
            <w:tcW w:w="1317" w:type="dxa"/>
            <w:tcBorders>
              <w:top w:val="nil"/>
              <w:left w:val="nil"/>
              <w:right w:val="nil"/>
            </w:tcBorders>
            <w:shd w:val="clear" w:color="auto" w:fill="auto"/>
            <w:noWrap/>
            <w:vAlign w:val="center"/>
          </w:tcPr>
          <w:p w14:paraId="58D39CE4" w14:textId="77777777" w:rsidR="00581340" w:rsidRDefault="0035347A">
            <w:pPr>
              <w:jc w:val="center"/>
              <w:rPr>
                <w:rFonts w:eastAsia="Times New Roman" w:cs="Times New Roman"/>
                <w:iCs/>
                <w:sz w:val="22"/>
                <w:szCs w:val="22"/>
              </w:rPr>
            </w:pPr>
            <w:r>
              <w:rPr>
                <w:rFonts w:eastAsia="Times New Roman" w:cs="Times New Roman"/>
                <w:iCs/>
                <w:sz w:val="22"/>
                <w:szCs w:val="22"/>
              </w:rPr>
              <w:t>129,208</w:t>
            </w:r>
          </w:p>
        </w:tc>
        <w:tc>
          <w:tcPr>
            <w:tcW w:w="1283" w:type="dxa"/>
            <w:tcBorders>
              <w:top w:val="nil"/>
              <w:left w:val="nil"/>
              <w:right w:val="nil"/>
            </w:tcBorders>
            <w:shd w:val="clear" w:color="auto" w:fill="auto"/>
            <w:noWrap/>
            <w:vAlign w:val="center"/>
          </w:tcPr>
          <w:p w14:paraId="4936C4D3" w14:textId="77777777" w:rsidR="00581340" w:rsidRDefault="0035347A">
            <w:pPr>
              <w:jc w:val="center"/>
              <w:rPr>
                <w:rFonts w:eastAsia="Times New Roman" w:cs="Times New Roman"/>
                <w:iCs/>
                <w:sz w:val="22"/>
                <w:szCs w:val="22"/>
              </w:rPr>
            </w:pPr>
            <w:r>
              <w:rPr>
                <w:rFonts w:eastAsia="Times New Roman" w:cs="Times New Roman"/>
                <w:iCs/>
                <w:sz w:val="22"/>
                <w:szCs w:val="22"/>
              </w:rPr>
              <w:t>2,905</w:t>
            </w:r>
          </w:p>
        </w:tc>
      </w:tr>
      <w:tr w:rsidR="00581340" w14:paraId="214098A1" w14:textId="77777777">
        <w:trPr>
          <w:trHeight w:val="320"/>
          <w:jc w:val="center"/>
        </w:trPr>
        <w:tc>
          <w:tcPr>
            <w:tcW w:w="1524" w:type="dxa"/>
            <w:tcBorders>
              <w:top w:val="nil"/>
              <w:left w:val="nil"/>
              <w:bottom w:val="nil"/>
              <w:right w:val="nil"/>
            </w:tcBorders>
            <w:shd w:val="clear" w:color="auto" w:fill="auto"/>
            <w:noWrap/>
            <w:vAlign w:val="center"/>
          </w:tcPr>
          <w:p w14:paraId="38C5C6BA" w14:textId="77777777" w:rsidR="00581340" w:rsidRDefault="0035347A">
            <w:pPr>
              <w:rPr>
                <w:rFonts w:eastAsia="Times New Roman" w:cs="Times New Roman"/>
                <w:iCs/>
                <w:sz w:val="22"/>
                <w:szCs w:val="22"/>
              </w:rPr>
            </w:pPr>
            <w:r>
              <w:rPr>
                <w:rFonts w:eastAsia="Times New Roman" w:cs="Times New Roman"/>
                <w:iCs/>
                <w:sz w:val="22"/>
                <w:szCs w:val="22"/>
              </w:rPr>
              <w:t>DNA-S-350</w:t>
            </w:r>
          </w:p>
        </w:tc>
        <w:tc>
          <w:tcPr>
            <w:tcW w:w="1493" w:type="dxa"/>
            <w:tcBorders>
              <w:top w:val="nil"/>
              <w:left w:val="nil"/>
              <w:bottom w:val="nil"/>
              <w:right w:val="nil"/>
            </w:tcBorders>
            <w:shd w:val="clear" w:color="auto" w:fill="auto"/>
            <w:noWrap/>
            <w:vAlign w:val="center"/>
          </w:tcPr>
          <w:p w14:paraId="16658D7D" w14:textId="77777777" w:rsidR="00581340" w:rsidRDefault="0035347A">
            <w:pPr>
              <w:jc w:val="center"/>
              <w:rPr>
                <w:rFonts w:eastAsia="Times New Roman" w:cs="Times New Roman"/>
                <w:iCs/>
                <w:sz w:val="22"/>
                <w:szCs w:val="22"/>
              </w:rPr>
            </w:pPr>
            <w:r>
              <w:rPr>
                <w:rFonts w:eastAsia="Times New Roman" w:cs="Times New Roman"/>
                <w:iCs/>
                <w:sz w:val="22"/>
                <w:szCs w:val="22"/>
              </w:rPr>
              <w:t>15.5</w:t>
            </w:r>
          </w:p>
        </w:tc>
        <w:tc>
          <w:tcPr>
            <w:tcW w:w="1600" w:type="dxa"/>
            <w:tcBorders>
              <w:top w:val="nil"/>
              <w:left w:val="nil"/>
              <w:bottom w:val="nil"/>
              <w:right w:val="nil"/>
            </w:tcBorders>
            <w:shd w:val="clear" w:color="auto" w:fill="auto"/>
            <w:noWrap/>
            <w:vAlign w:val="center"/>
          </w:tcPr>
          <w:p w14:paraId="50F1A590" w14:textId="77777777" w:rsidR="00581340" w:rsidRDefault="0035347A">
            <w:pPr>
              <w:jc w:val="center"/>
              <w:rPr>
                <w:rFonts w:eastAsia="Times New Roman" w:cs="Times New Roman"/>
                <w:iCs/>
                <w:sz w:val="22"/>
                <w:szCs w:val="22"/>
              </w:rPr>
            </w:pPr>
            <w:r>
              <w:rPr>
                <w:rFonts w:eastAsia="Times New Roman" w:cs="Times New Roman"/>
                <w:iCs/>
                <w:sz w:val="22"/>
                <w:szCs w:val="22"/>
              </w:rPr>
              <w:t>14.5</w:t>
            </w:r>
          </w:p>
        </w:tc>
        <w:tc>
          <w:tcPr>
            <w:tcW w:w="740" w:type="dxa"/>
            <w:tcBorders>
              <w:top w:val="nil"/>
              <w:left w:val="nil"/>
              <w:bottom w:val="nil"/>
              <w:right w:val="nil"/>
            </w:tcBorders>
            <w:shd w:val="clear" w:color="auto" w:fill="auto"/>
            <w:noWrap/>
            <w:vAlign w:val="center"/>
          </w:tcPr>
          <w:p w14:paraId="61696525" w14:textId="77777777" w:rsidR="00581340" w:rsidRDefault="0035347A">
            <w:pPr>
              <w:jc w:val="center"/>
              <w:rPr>
                <w:rFonts w:eastAsia="Times New Roman" w:cs="Times New Roman"/>
                <w:iCs/>
                <w:sz w:val="22"/>
                <w:szCs w:val="22"/>
              </w:rPr>
            </w:pPr>
            <w:r>
              <w:rPr>
                <w:rFonts w:eastAsia="Times New Roman" w:cs="Times New Roman"/>
                <w:iCs/>
                <w:sz w:val="22"/>
                <w:szCs w:val="22"/>
              </w:rPr>
              <w:t>70</w:t>
            </w:r>
          </w:p>
        </w:tc>
        <w:tc>
          <w:tcPr>
            <w:tcW w:w="1567" w:type="dxa"/>
            <w:tcBorders>
              <w:top w:val="nil"/>
              <w:left w:val="nil"/>
              <w:bottom w:val="nil"/>
              <w:right w:val="nil"/>
            </w:tcBorders>
            <w:shd w:val="clear" w:color="auto" w:fill="auto"/>
            <w:noWrap/>
            <w:vAlign w:val="center"/>
          </w:tcPr>
          <w:p w14:paraId="235A227F" w14:textId="77777777" w:rsidR="00581340" w:rsidRDefault="0035347A">
            <w:pPr>
              <w:jc w:val="center"/>
              <w:rPr>
                <w:rFonts w:eastAsia="Times New Roman" w:cs="Times New Roman"/>
                <w:iCs/>
                <w:sz w:val="22"/>
                <w:szCs w:val="22"/>
              </w:rPr>
            </w:pPr>
            <w:r>
              <w:rPr>
                <w:rFonts w:eastAsia="Times New Roman" w:cs="Times New Roman"/>
                <w:iCs/>
                <w:sz w:val="22"/>
                <w:szCs w:val="22"/>
              </w:rPr>
              <w:t>0.43</w:t>
            </w:r>
          </w:p>
        </w:tc>
        <w:tc>
          <w:tcPr>
            <w:tcW w:w="1113" w:type="dxa"/>
            <w:tcBorders>
              <w:top w:val="nil"/>
              <w:left w:val="nil"/>
              <w:bottom w:val="nil"/>
              <w:right w:val="nil"/>
            </w:tcBorders>
            <w:shd w:val="clear" w:color="auto" w:fill="auto"/>
            <w:noWrap/>
            <w:vAlign w:val="center"/>
          </w:tcPr>
          <w:p w14:paraId="53EA24BF" w14:textId="77777777" w:rsidR="00581340" w:rsidRDefault="0035347A">
            <w:pPr>
              <w:jc w:val="center"/>
              <w:rPr>
                <w:rFonts w:eastAsia="Times New Roman" w:cs="Times New Roman"/>
                <w:iCs/>
                <w:sz w:val="22"/>
                <w:szCs w:val="22"/>
              </w:rPr>
            </w:pPr>
            <w:r>
              <w:rPr>
                <w:rFonts w:eastAsia="Times New Roman" w:cs="Times New Roman"/>
                <w:iCs/>
                <w:sz w:val="22"/>
                <w:szCs w:val="22"/>
              </w:rPr>
              <w:t>331,566</w:t>
            </w:r>
          </w:p>
        </w:tc>
        <w:tc>
          <w:tcPr>
            <w:tcW w:w="1317" w:type="dxa"/>
            <w:tcBorders>
              <w:top w:val="nil"/>
              <w:left w:val="nil"/>
              <w:bottom w:val="nil"/>
              <w:right w:val="nil"/>
            </w:tcBorders>
            <w:shd w:val="clear" w:color="auto" w:fill="auto"/>
            <w:noWrap/>
            <w:vAlign w:val="center"/>
          </w:tcPr>
          <w:p w14:paraId="58909F95" w14:textId="77777777" w:rsidR="00581340" w:rsidRDefault="0035347A">
            <w:pPr>
              <w:jc w:val="center"/>
              <w:rPr>
                <w:rFonts w:eastAsia="Times New Roman" w:cs="Times New Roman"/>
                <w:iCs/>
                <w:sz w:val="22"/>
                <w:szCs w:val="22"/>
              </w:rPr>
            </w:pPr>
            <w:r>
              <w:rPr>
                <w:rFonts w:eastAsia="Times New Roman" w:cs="Times New Roman"/>
                <w:iCs/>
                <w:sz w:val="22"/>
                <w:szCs w:val="22"/>
              </w:rPr>
              <w:t>174,811</w:t>
            </w:r>
          </w:p>
        </w:tc>
        <w:tc>
          <w:tcPr>
            <w:tcW w:w="1283" w:type="dxa"/>
            <w:tcBorders>
              <w:top w:val="nil"/>
              <w:left w:val="nil"/>
              <w:bottom w:val="nil"/>
              <w:right w:val="nil"/>
            </w:tcBorders>
            <w:shd w:val="clear" w:color="auto" w:fill="auto"/>
            <w:noWrap/>
            <w:vAlign w:val="center"/>
          </w:tcPr>
          <w:p w14:paraId="3F46FC0F" w14:textId="77777777" w:rsidR="00581340" w:rsidRDefault="0035347A">
            <w:pPr>
              <w:jc w:val="center"/>
              <w:rPr>
                <w:rFonts w:eastAsia="Times New Roman" w:cs="Times New Roman"/>
                <w:iCs/>
                <w:sz w:val="22"/>
                <w:szCs w:val="22"/>
              </w:rPr>
            </w:pPr>
            <w:r>
              <w:rPr>
                <w:rFonts w:eastAsia="Times New Roman" w:cs="Times New Roman"/>
                <w:iCs/>
                <w:sz w:val="22"/>
                <w:szCs w:val="22"/>
              </w:rPr>
              <w:t>4,643</w:t>
            </w:r>
          </w:p>
        </w:tc>
      </w:tr>
      <w:tr w:rsidR="00581340" w14:paraId="2C66FD9E" w14:textId="77777777">
        <w:trPr>
          <w:trHeight w:val="320"/>
          <w:jc w:val="center"/>
        </w:trPr>
        <w:tc>
          <w:tcPr>
            <w:tcW w:w="1524" w:type="dxa"/>
            <w:tcBorders>
              <w:top w:val="nil"/>
              <w:left w:val="nil"/>
              <w:bottom w:val="single" w:sz="8" w:space="0" w:color="auto"/>
              <w:right w:val="nil"/>
            </w:tcBorders>
            <w:shd w:val="clear" w:color="auto" w:fill="auto"/>
            <w:noWrap/>
            <w:vAlign w:val="center"/>
          </w:tcPr>
          <w:p w14:paraId="462C0F69" w14:textId="77777777" w:rsidR="00581340" w:rsidRDefault="0035347A">
            <w:pPr>
              <w:rPr>
                <w:rFonts w:eastAsia="Times New Roman" w:cs="Times New Roman"/>
                <w:iCs/>
                <w:sz w:val="22"/>
                <w:szCs w:val="22"/>
              </w:rPr>
            </w:pPr>
            <w:r>
              <w:rPr>
                <w:rFonts w:eastAsia="Times New Roman" w:cs="Times New Roman"/>
                <w:iCs/>
                <w:sz w:val="22"/>
                <w:szCs w:val="22"/>
              </w:rPr>
              <w:t>co-assembly</w:t>
            </w:r>
          </w:p>
        </w:tc>
        <w:tc>
          <w:tcPr>
            <w:tcW w:w="1493" w:type="dxa"/>
            <w:tcBorders>
              <w:top w:val="nil"/>
              <w:left w:val="nil"/>
              <w:bottom w:val="single" w:sz="8" w:space="0" w:color="auto"/>
              <w:right w:val="nil"/>
            </w:tcBorders>
            <w:shd w:val="clear" w:color="auto" w:fill="auto"/>
            <w:noWrap/>
            <w:vAlign w:val="center"/>
          </w:tcPr>
          <w:p w14:paraId="23580E75" w14:textId="77777777" w:rsidR="00581340" w:rsidRDefault="0035347A">
            <w:pPr>
              <w:jc w:val="center"/>
              <w:rPr>
                <w:rFonts w:eastAsia="Times New Roman" w:cs="Times New Roman"/>
                <w:iCs/>
                <w:sz w:val="22"/>
                <w:szCs w:val="22"/>
              </w:rPr>
            </w:pPr>
            <w:r>
              <w:rPr>
                <w:rFonts w:eastAsia="Times New Roman" w:cs="Times New Roman"/>
                <w:iCs/>
                <w:sz w:val="22"/>
                <w:szCs w:val="22"/>
              </w:rPr>
              <w:t>51.7</w:t>
            </w:r>
          </w:p>
        </w:tc>
        <w:tc>
          <w:tcPr>
            <w:tcW w:w="1600" w:type="dxa"/>
            <w:tcBorders>
              <w:top w:val="nil"/>
              <w:left w:val="nil"/>
              <w:bottom w:val="single" w:sz="8" w:space="0" w:color="auto"/>
              <w:right w:val="nil"/>
            </w:tcBorders>
            <w:shd w:val="clear" w:color="auto" w:fill="auto"/>
            <w:noWrap/>
            <w:vAlign w:val="center"/>
          </w:tcPr>
          <w:p w14:paraId="042F53C8" w14:textId="77777777" w:rsidR="00581340" w:rsidRDefault="0035347A">
            <w:pPr>
              <w:jc w:val="center"/>
              <w:rPr>
                <w:rFonts w:eastAsia="Times New Roman" w:cs="Times New Roman"/>
                <w:iCs/>
                <w:sz w:val="22"/>
                <w:szCs w:val="22"/>
              </w:rPr>
            </w:pPr>
            <w:r>
              <w:rPr>
                <w:rFonts w:eastAsia="Times New Roman" w:cs="Times New Roman"/>
                <w:iCs/>
                <w:sz w:val="22"/>
                <w:szCs w:val="22"/>
              </w:rPr>
              <w:t>49.4</w:t>
            </w:r>
          </w:p>
        </w:tc>
        <w:tc>
          <w:tcPr>
            <w:tcW w:w="740" w:type="dxa"/>
            <w:tcBorders>
              <w:top w:val="nil"/>
              <w:left w:val="nil"/>
              <w:bottom w:val="single" w:sz="8" w:space="0" w:color="auto"/>
              <w:right w:val="nil"/>
            </w:tcBorders>
            <w:shd w:val="clear" w:color="auto" w:fill="auto"/>
            <w:noWrap/>
            <w:vAlign w:val="center"/>
          </w:tcPr>
          <w:p w14:paraId="26ADD8C1" w14:textId="77777777" w:rsidR="00581340" w:rsidRDefault="0035347A">
            <w:pPr>
              <w:jc w:val="center"/>
              <w:rPr>
                <w:rFonts w:eastAsia="Times New Roman" w:cs="Times New Roman"/>
                <w:iCs/>
                <w:sz w:val="22"/>
                <w:szCs w:val="22"/>
              </w:rPr>
            </w:pPr>
            <w:r>
              <w:rPr>
                <w:rFonts w:eastAsia="Times New Roman" w:cs="Times New Roman" w:hint="eastAsia"/>
                <w:iCs/>
                <w:sz w:val="22"/>
                <w:szCs w:val="22"/>
              </w:rPr>
              <w:t>70</w:t>
            </w:r>
          </w:p>
        </w:tc>
        <w:tc>
          <w:tcPr>
            <w:tcW w:w="1567" w:type="dxa"/>
            <w:tcBorders>
              <w:top w:val="nil"/>
              <w:left w:val="nil"/>
              <w:bottom w:val="single" w:sz="8" w:space="0" w:color="auto"/>
              <w:right w:val="nil"/>
            </w:tcBorders>
            <w:shd w:val="clear" w:color="auto" w:fill="auto"/>
            <w:noWrap/>
            <w:vAlign w:val="center"/>
          </w:tcPr>
          <w:p w14:paraId="76612752" w14:textId="77777777" w:rsidR="00581340" w:rsidRDefault="0035347A">
            <w:pPr>
              <w:jc w:val="center"/>
              <w:rPr>
                <w:rFonts w:eastAsia="Times New Roman" w:cs="Times New Roman"/>
                <w:iCs/>
                <w:sz w:val="22"/>
                <w:szCs w:val="22"/>
              </w:rPr>
            </w:pPr>
            <w:r>
              <w:rPr>
                <w:rFonts w:eastAsia="Times New Roman" w:cs="Times New Roman" w:hint="eastAsia"/>
                <w:iCs/>
                <w:sz w:val="22"/>
                <w:szCs w:val="22"/>
              </w:rPr>
              <w:t>0.66</w:t>
            </w:r>
          </w:p>
        </w:tc>
        <w:tc>
          <w:tcPr>
            <w:tcW w:w="1113" w:type="dxa"/>
            <w:tcBorders>
              <w:top w:val="nil"/>
              <w:left w:val="nil"/>
              <w:bottom w:val="single" w:sz="8" w:space="0" w:color="auto"/>
              <w:right w:val="nil"/>
            </w:tcBorders>
            <w:shd w:val="clear" w:color="auto" w:fill="auto"/>
            <w:noWrap/>
            <w:vAlign w:val="center"/>
          </w:tcPr>
          <w:p w14:paraId="082E725F" w14:textId="77777777" w:rsidR="00581340" w:rsidRDefault="0035347A">
            <w:pPr>
              <w:jc w:val="center"/>
              <w:rPr>
                <w:rFonts w:eastAsia="Times New Roman" w:cs="Times New Roman"/>
                <w:iCs/>
                <w:sz w:val="22"/>
                <w:szCs w:val="22"/>
              </w:rPr>
            </w:pPr>
            <w:r>
              <w:rPr>
                <w:rFonts w:eastAsia="Times New Roman" w:cs="Times New Roman" w:hint="eastAsia"/>
                <w:iCs/>
                <w:sz w:val="22"/>
                <w:szCs w:val="22"/>
              </w:rPr>
              <w:t>412,072</w:t>
            </w:r>
          </w:p>
        </w:tc>
        <w:tc>
          <w:tcPr>
            <w:tcW w:w="1317" w:type="dxa"/>
            <w:tcBorders>
              <w:top w:val="nil"/>
              <w:left w:val="nil"/>
              <w:bottom w:val="single" w:sz="8" w:space="0" w:color="auto"/>
              <w:right w:val="nil"/>
            </w:tcBorders>
            <w:shd w:val="clear" w:color="auto" w:fill="auto"/>
            <w:noWrap/>
            <w:vAlign w:val="center"/>
          </w:tcPr>
          <w:p w14:paraId="78E66A78" w14:textId="77777777" w:rsidR="00581340" w:rsidRDefault="0035347A">
            <w:pPr>
              <w:jc w:val="center"/>
              <w:rPr>
                <w:rFonts w:eastAsia="Times New Roman" w:cs="Times New Roman"/>
                <w:iCs/>
                <w:sz w:val="22"/>
                <w:szCs w:val="22"/>
              </w:rPr>
            </w:pPr>
            <w:r>
              <w:rPr>
                <w:rFonts w:eastAsia="Times New Roman" w:cs="Times New Roman" w:hint="eastAsia"/>
                <w:iCs/>
                <w:sz w:val="22"/>
                <w:szCs w:val="22"/>
              </w:rPr>
              <w:t>290,166</w:t>
            </w:r>
          </w:p>
        </w:tc>
        <w:tc>
          <w:tcPr>
            <w:tcW w:w="1283" w:type="dxa"/>
            <w:tcBorders>
              <w:top w:val="nil"/>
              <w:left w:val="nil"/>
              <w:bottom w:val="single" w:sz="8" w:space="0" w:color="auto"/>
              <w:right w:val="nil"/>
            </w:tcBorders>
            <w:shd w:val="clear" w:color="auto" w:fill="auto"/>
            <w:noWrap/>
            <w:vAlign w:val="center"/>
          </w:tcPr>
          <w:p w14:paraId="3A8F7422" w14:textId="77777777" w:rsidR="00581340" w:rsidRDefault="0035347A">
            <w:pPr>
              <w:jc w:val="center"/>
              <w:rPr>
                <w:rFonts w:eastAsia="Times New Roman" w:cs="Times New Roman"/>
                <w:iCs/>
                <w:sz w:val="22"/>
                <w:szCs w:val="22"/>
              </w:rPr>
            </w:pPr>
            <w:r>
              <w:rPr>
                <w:rFonts w:eastAsia="Times New Roman" w:cs="Times New Roman" w:hint="eastAsia"/>
                <w:iCs/>
                <w:sz w:val="22"/>
                <w:szCs w:val="22"/>
              </w:rPr>
              <w:t>4,145</w:t>
            </w:r>
          </w:p>
        </w:tc>
      </w:tr>
    </w:tbl>
    <w:p w14:paraId="061C51E5" w14:textId="42482191" w:rsidR="00581340" w:rsidRDefault="0035347A">
      <w:r>
        <w:t xml:space="preserve">DNA-Total: Bulk sludge DNA extracts </w:t>
      </w:r>
    </w:p>
    <w:p w14:paraId="077E7A36" w14:textId="77777777" w:rsidR="00581340" w:rsidRDefault="0035347A">
      <w:r>
        <w:t xml:space="preserve">DNA-L-350: DNA extracts subjected to metagenomic sequencing from sludge particulates with diameter &gt; 350 </w:t>
      </w:r>
      <w:r>
        <w:rPr>
          <w:rFonts w:cs="Times New Roman"/>
        </w:rPr>
        <w:t>µ</w:t>
      </w:r>
      <w:r>
        <w:t>m</w:t>
      </w:r>
    </w:p>
    <w:p w14:paraId="5CF6A20B" w14:textId="24B1CD42" w:rsidR="007517B6" w:rsidRPr="00333891" w:rsidRDefault="0035347A">
      <w:pPr>
        <w:rPr>
          <w:rFonts w:eastAsiaTheme="minorEastAsia"/>
        </w:rPr>
      </w:pPr>
      <w:r>
        <w:t xml:space="preserve">DNA-S-350: DNA extracts subjected to metagenomic sequencing from sludge particulates with diameter &lt; 350 </w:t>
      </w:r>
      <w:r>
        <w:rPr>
          <w:rFonts w:cs="Times New Roman"/>
        </w:rPr>
        <w:t>µ</w:t>
      </w:r>
      <w:r>
        <w:t>M.</w:t>
      </w:r>
    </w:p>
    <w:p w14:paraId="41842855" w14:textId="5EE583C8" w:rsidR="002775C8" w:rsidRDefault="006175E2">
      <w:pPr>
        <w:rPr>
          <w:b/>
          <w:bCs/>
        </w:rPr>
      </w:pPr>
      <w:r>
        <w:br w:type="page"/>
      </w:r>
      <w:r w:rsidR="002775C8" w:rsidRPr="007444F1">
        <w:rPr>
          <w:b/>
          <w:bCs/>
        </w:rPr>
        <w:lastRenderedPageBreak/>
        <w:t>Table S7.</w:t>
      </w:r>
      <w:r w:rsidR="00E00F12">
        <w:rPr>
          <w:b/>
          <w:bCs/>
        </w:rPr>
        <w:t xml:space="preserve"> </w:t>
      </w:r>
      <w:r w:rsidR="00E00F12" w:rsidRPr="007444F1">
        <w:t xml:space="preserve">Detailed information on the denitrification genes annotated in each of the 32 high-quality MAGs. </w:t>
      </w:r>
    </w:p>
    <w:p w14:paraId="61718D86" w14:textId="77777777" w:rsidR="00251915" w:rsidRPr="007444F1" w:rsidRDefault="00251915">
      <w:pPr>
        <w:rPr>
          <w:b/>
          <w:bCs/>
        </w:rPr>
      </w:pPr>
    </w:p>
    <w:p w14:paraId="417E000D" w14:textId="588D1C06" w:rsidR="002775C8" w:rsidRDefault="002775C8">
      <w:r w:rsidRPr="007444F1">
        <w:rPr>
          <w:rFonts w:eastAsiaTheme="minorEastAsia"/>
          <w:b/>
          <w:bCs/>
        </w:rPr>
        <w:t>Table S8.</w:t>
      </w:r>
      <w:r w:rsidR="00E00F12">
        <w:rPr>
          <w:rFonts w:eastAsiaTheme="minorEastAsia"/>
          <w:b/>
          <w:bCs/>
        </w:rPr>
        <w:t xml:space="preserve"> </w:t>
      </w:r>
      <w:r w:rsidR="00E00F12" w:rsidRPr="007444F1">
        <w:rPr>
          <w:rFonts w:eastAsiaTheme="minorEastAsia"/>
        </w:rPr>
        <w:t>Genome accession numbers and the biosample accession numbers of all the 32 high-quality MAGs submitted to NCBI.</w:t>
      </w:r>
      <w:r>
        <w:br w:type="page"/>
      </w:r>
    </w:p>
    <w:p w14:paraId="268D51EE" w14:textId="77777777" w:rsidR="007517B6" w:rsidRPr="00895744" w:rsidRDefault="007517B6">
      <w:pPr>
        <w:rPr>
          <w:rFonts w:eastAsiaTheme="minorEastAsia"/>
        </w:rPr>
      </w:pPr>
    </w:p>
    <w:p w14:paraId="2C3F0FC4" w14:textId="64F30087" w:rsidR="00497209" w:rsidRPr="00895744" w:rsidRDefault="00497209">
      <w:pPr>
        <w:rPr>
          <w:rFonts w:eastAsiaTheme="minorEastAsia" w:cs="Times New Roman"/>
          <w:b/>
        </w:rPr>
      </w:pPr>
      <w:r w:rsidRPr="00461D19">
        <w:rPr>
          <w:rFonts w:cs="Times New Roman"/>
          <w:b/>
        </w:rPr>
        <w:t>Supplementary Information – Figures</w:t>
      </w:r>
    </w:p>
    <w:p w14:paraId="3C5F13D0" w14:textId="2687F1B9" w:rsidR="006175E2" w:rsidRPr="00895744" w:rsidRDefault="006175E2">
      <w:pPr>
        <w:rPr>
          <w:rFonts w:eastAsiaTheme="minorEastAsia"/>
        </w:rPr>
      </w:pPr>
    </w:p>
    <w:p w14:paraId="697592FB" w14:textId="77777777" w:rsidR="006175E2" w:rsidRDefault="006175E2" w:rsidP="006175E2">
      <w:pPr>
        <w:ind w:right="-990"/>
        <w:jc w:val="both"/>
        <w:rPr>
          <w:rFonts w:eastAsiaTheme="minorEastAsia" w:cs="Times New Roman"/>
          <w:iCs/>
        </w:rPr>
      </w:pPr>
      <w:r>
        <w:rPr>
          <w:noProof/>
        </w:rPr>
        <w:drawing>
          <wp:inline distT="0" distB="0" distL="0" distR="0" wp14:anchorId="04657AFE" wp14:editId="442C02B8">
            <wp:extent cx="5667375" cy="303593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E949002" w14:textId="77777777" w:rsidR="006175E2" w:rsidRDefault="006175E2" w:rsidP="006175E2">
      <w:pPr>
        <w:spacing w:after="120"/>
        <w:jc w:val="both"/>
      </w:pPr>
      <w:r w:rsidRPr="00745651">
        <w:rPr>
          <w:b/>
        </w:rPr>
        <w:t>Figure S</w:t>
      </w:r>
      <w:r>
        <w:rPr>
          <w:b/>
        </w:rPr>
        <w:t>1</w:t>
      </w:r>
      <w:r>
        <w:t xml:space="preserve">. Relative abundance of the five </w:t>
      </w:r>
      <w:r>
        <w:rPr>
          <w:i/>
        </w:rPr>
        <w:t>Accumulibacter</w:t>
      </w:r>
      <w:r>
        <w:t xml:space="preserve"> clades in larger </w:t>
      </w:r>
      <w:proofErr w:type="spellStart"/>
      <w:r>
        <w:t>bioaggregates</w:t>
      </w:r>
      <w:proofErr w:type="spellEnd"/>
      <w:r>
        <w:t xml:space="preserve"> (granules with diameter &gt;=350 </w:t>
      </w:r>
      <w:r>
        <w:rPr>
          <w:rFonts w:cs="Times New Roman"/>
        </w:rPr>
        <w:t>µ</w:t>
      </w:r>
      <w:r>
        <w:t xml:space="preserve">m) and in smaller </w:t>
      </w:r>
      <w:proofErr w:type="spellStart"/>
      <w:r>
        <w:t>bioaggregates</w:t>
      </w:r>
      <w:proofErr w:type="spellEnd"/>
      <w:r>
        <w:t xml:space="preserve"> (diameter &lt; 350 </w:t>
      </w:r>
      <w:r>
        <w:rPr>
          <w:rFonts w:cs="Times New Roman"/>
        </w:rPr>
        <w:t>µ</w:t>
      </w:r>
      <w:r>
        <w:t xml:space="preserve">m). The ratios calculated were based on the DNA-RPKM values of the </w:t>
      </w:r>
      <w:r>
        <w:rPr>
          <w:i/>
          <w:iCs/>
        </w:rPr>
        <w:t>ppk1</w:t>
      </w:r>
      <w:r>
        <w:t xml:space="preserve"> genes in each clade, the total DNA-RPKM values of the </w:t>
      </w:r>
      <w:r w:rsidRPr="00745651">
        <w:rPr>
          <w:i/>
        </w:rPr>
        <w:t>ppk1</w:t>
      </w:r>
      <w:r>
        <w:t xml:space="preserve"> genes in all the five clades was taken as 1, and the ratio of each specific clade was normalized accordingly.</w:t>
      </w:r>
    </w:p>
    <w:p w14:paraId="485113E8" w14:textId="77777777" w:rsidR="006175E2" w:rsidRDefault="006175E2"/>
    <w:p w14:paraId="705FC30D" w14:textId="3C9231D6" w:rsidR="00555CF1" w:rsidRDefault="00555CF1">
      <w:r>
        <w:br w:type="page"/>
      </w:r>
    </w:p>
    <w:p w14:paraId="67C23CB2" w14:textId="37D0BC29" w:rsidR="000F23BD" w:rsidRPr="0078309B" w:rsidRDefault="00D60DFC" w:rsidP="0078309B">
      <w:pPr>
        <w:jc w:val="center"/>
        <w:rPr>
          <w:rFonts w:eastAsiaTheme="minorEastAsia"/>
        </w:rPr>
      </w:pPr>
      <w:r w:rsidRPr="00D60DFC">
        <w:rPr>
          <w:rFonts w:eastAsiaTheme="minorEastAsia"/>
          <w:noProof/>
        </w:rPr>
        <w:lastRenderedPageBreak/>
        <w:drawing>
          <wp:inline distT="0" distB="0" distL="0" distR="0" wp14:anchorId="32700E64" wp14:editId="7D3F38FA">
            <wp:extent cx="5943600" cy="6166485"/>
            <wp:effectExtent l="0" t="0" r="0" b="5715"/>
            <wp:docPr id="10" name="图片 9" descr="文本&#10;&#10;描述已自动生成">
              <a:extLst xmlns:a="http://schemas.openxmlformats.org/drawingml/2006/main">
                <a:ext uri="{FF2B5EF4-FFF2-40B4-BE49-F238E27FC236}">
                  <a16:creationId xmlns:a16="http://schemas.microsoft.com/office/drawing/2014/main" id="{277C2740-5472-439C-8771-B15AD39104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文本&#10;&#10;描述已自动生成">
                      <a:extLst>
                        <a:ext uri="{FF2B5EF4-FFF2-40B4-BE49-F238E27FC236}">
                          <a16:creationId xmlns:a16="http://schemas.microsoft.com/office/drawing/2014/main" id="{277C2740-5472-439C-8771-B15AD391046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6166485"/>
                    </a:xfrm>
                    <a:prstGeom prst="rect">
                      <a:avLst/>
                    </a:prstGeom>
                  </pic:spPr>
                </pic:pic>
              </a:graphicData>
            </a:graphic>
          </wp:inline>
        </w:drawing>
      </w:r>
    </w:p>
    <w:p w14:paraId="4C49389F" w14:textId="464024CE" w:rsidR="000F23BD" w:rsidRPr="000F23BD" w:rsidRDefault="00555CF1" w:rsidP="000F23BD">
      <w:pPr>
        <w:ind w:left="720"/>
        <w:jc w:val="both"/>
      </w:pPr>
      <w:r w:rsidRPr="00555CF1">
        <w:rPr>
          <w:rFonts w:eastAsiaTheme="minorEastAsia"/>
          <w:b/>
          <w:bCs/>
        </w:rPr>
        <w:t xml:space="preserve">Figure S2.  </w:t>
      </w:r>
      <w:r w:rsidR="00D60DFC" w:rsidRPr="0078309B">
        <w:t xml:space="preserve">Maximum likelihood phylogenetic </w:t>
      </w:r>
      <w:r w:rsidR="00071575">
        <w:t>tree</w:t>
      </w:r>
      <w:r w:rsidR="00071575" w:rsidRPr="0078309B">
        <w:t xml:space="preserve"> </w:t>
      </w:r>
      <w:r w:rsidR="00D60DFC" w:rsidRPr="0078309B">
        <w:t xml:space="preserve">between the </w:t>
      </w:r>
      <w:proofErr w:type="spellStart"/>
      <w:r w:rsidR="00D60DFC" w:rsidRPr="0078309B">
        <w:t>Competibacteraceae</w:t>
      </w:r>
      <w:proofErr w:type="spellEnd"/>
      <w:r w:rsidR="00D60DFC" w:rsidRPr="0078309B">
        <w:t xml:space="preserve"> MAG</w:t>
      </w:r>
      <w:r w:rsidR="00071575">
        <w:t xml:space="preserve"> </w:t>
      </w:r>
      <w:r w:rsidR="00D60DFC" w:rsidRPr="0078309B">
        <w:t xml:space="preserve">GAO1 and 38 reference draft genomes in the family of Competibacteraceae. The tree was constructed using </w:t>
      </w:r>
      <w:proofErr w:type="spellStart"/>
      <w:r w:rsidR="00D60DFC" w:rsidRPr="0078309B">
        <w:t>RAxML</w:t>
      </w:r>
      <w:proofErr w:type="spellEnd"/>
      <w:r w:rsidR="00D60DFC" w:rsidRPr="0078309B">
        <w:t xml:space="preserve"> with 100 bootstraps based on a set of 120 concatenated universal single-copy proteins </w:t>
      </w:r>
      <w:r w:rsidR="00D60DFC" w:rsidRPr="0078309B">
        <w:fldChar w:fldCharType="begin"/>
      </w:r>
      <w:r w:rsidR="00D60DFC" w:rsidRPr="0078309B">
        <w:instrText xml:space="preserve"> ADDIN EN.CITE &lt;EndNote&gt;&lt;Cite&gt;&lt;Author&gt;Parks&lt;/Author&gt;&lt;Year&gt;2018&lt;/Year&gt;&lt;RecNum&gt;169&lt;/RecNum&gt;&lt;DisplayText&gt;(Parks et al., 2018)&lt;/DisplayText&gt;&lt;record&gt;&lt;rec-number&gt;169&lt;/rec-number&gt;&lt;foreign-keys&gt;&lt;key app="EN" db-id="2awar5d0b55tfvexa0qxwxtirr05z9a5atrx" timestamp="1570047365" guid="abaf9c19-1fce-4620-9b6f-7473f89e12e8"&gt;169&lt;/key&gt;&lt;key app="ENWeb" db-id=""&gt;0&lt;/key&gt;&lt;/foreign-keys&gt;&lt;ref-type name="Journal Article"&gt;17&lt;/ref-type&gt;&lt;contributors&gt;&lt;authors&gt;&lt;author&gt;Parks, D. H.&lt;/author&gt;&lt;author&gt;Chuvochina, M.&lt;/author&gt;&lt;author&gt;Waite, D. W.&lt;/author&gt;&lt;author&gt;Rinke, C.&lt;/author&gt;&lt;author&gt;Skarshewski, A.&lt;/author&gt;&lt;author&gt;Chaumeil, P. A.&lt;/author&gt;&lt;author&gt;Hugenholtz, P.&lt;/author&gt;&lt;/authors&gt;&lt;/contributors&gt;&lt;auth-address&gt;Australian Centre for Ecogenomics, School of Chemistry and Molecular Biosciences, University of Queensland, Queensland, Australia.&lt;/auth-address&gt;&lt;titles&gt;&lt;title&gt;A standardized bacterial taxonomy based on genome phylogeny substantially revises the tree of life&lt;/title&gt;&lt;secondary-title&gt;Nat Biotechnol&lt;/secondary-title&gt;&lt;/titles&gt;&lt;periodical&gt;&lt;full-title&gt;Nat Biotechnol&lt;/full-title&gt;&lt;/periodical&gt;&lt;pages&gt;996-1004&lt;/pages&gt;&lt;volume&gt;36&lt;/volume&gt;&lt;number&gt;10&lt;/number&gt;&lt;edition&gt;2018/08/28&lt;/edition&gt;&lt;keywords&gt;&lt;keyword&gt;Bacteria/*classification/*genetics&lt;/keyword&gt;&lt;keyword&gt;Databases, Genetic&lt;/keyword&gt;&lt;keyword&gt;*Genome, Bacterial&lt;/keyword&gt;&lt;keyword&gt;Genomics&lt;/keyword&gt;&lt;keyword&gt;*Phylogeny&lt;/keyword&gt;&lt;keyword&gt;Software&lt;/keyword&gt;&lt;/keywords&gt;&lt;dates&gt;&lt;year&gt;2018&lt;/year&gt;&lt;pub-dates&gt;&lt;date&gt;Nov&lt;/date&gt;&lt;/pub-dates&gt;&lt;/dates&gt;&lt;isbn&gt;1546-1696 (Electronic)&amp;#xD;1087-0156 (Linking)&lt;/isbn&gt;&lt;accession-num&gt;30148503&lt;/accession-num&gt;&lt;urls&gt;&lt;related-urls&gt;&lt;url&gt;https://www.ncbi.nlm.nih.gov/pubmed/30148503&lt;/url&gt;&lt;/related-urls&gt;&lt;/urls&gt;&lt;electronic-resource-num&gt;10.1038/nbt.4229&lt;/electronic-resource-num&gt;&lt;/record&gt;&lt;/Cite&gt;&lt;/EndNote&gt;</w:instrText>
      </w:r>
      <w:r w:rsidR="00D60DFC" w:rsidRPr="0078309B">
        <w:fldChar w:fldCharType="separate"/>
      </w:r>
      <w:r w:rsidR="00D60DFC" w:rsidRPr="0078309B">
        <w:rPr>
          <w:noProof/>
        </w:rPr>
        <w:t>(Parks et al., 2018)</w:t>
      </w:r>
      <w:r w:rsidR="00D60DFC" w:rsidRPr="0078309B">
        <w:fldChar w:fldCharType="end"/>
      </w:r>
      <w:r w:rsidR="00D60DFC" w:rsidRPr="0078309B">
        <w:t xml:space="preserve">, and bootstrap values </w:t>
      </w:r>
      <w:r w:rsidR="00071575">
        <w:sym w:font="Symbol" w:char="F0B3"/>
      </w:r>
      <w:r w:rsidR="00D60DFC" w:rsidRPr="0078309B">
        <w:t xml:space="preserve">0.9 </w:t>
      </w:r>
      <w:r w:rsidR="00071575">
        <w:t>are</w:t>
      </w:r>
      <w:r w:rsidR="00D60DFC" w:rsidRPr="0078309B">
        <w:t xml:space="preserve"> shown on the branches</w:t>
      </w:r>
      <w:r w:rsidR="00D60DFC" w:rsidRPr="0078309B">
        <w:rPr>
          <w:rFonts w:hint="eastAsia"/>
        </w:rPr>
        <w:t>.</w:t>
      </w:r>
      <w:r w:rsidR="000F23BD" w:rsidRPr="0078309B">
        <w:t xml:space="preserve"> The reference genome (represented by the accession number of GCA 00322995) of </w:t>
      </w:r>
      <w:proofErr w:type="spellStart"/>
      <w:r w:rsidR="000F23BD" w:rsidRPr="0078309B">
        <w:t>Thiohalomonadales</w:t>
      </w:r>
      <w:proofErr w:type="spellEnd"/>
      <w:r w:rsidR="000F23BD" w:rsidRPr="0078309B">
        <w:t xml:space="preserve"> was used as the outgroup. </w:t>
      </w:r>
      <w:r w:rsidR="00541B37" w:rsidRPr="0078309B">
        <w:t>R</w:t>
      </w:r>
      <w:r w:rsidR="000F23BD" w:rsidRPr="000F23BD">
        <w:t xml:space="preserve">eference genomes annotated at the genus level of </w:t>
      </w:r>
      <w:proofErr w:type="spellStart"/>
      <w:r w:rsidR="000F23BD" w:rsidRPr="00895744">
        <w:rPr>
          <w:i/>
        </w:rPr>
        <w:t>Competibacter</w:t>
      </w:r>
      <w:proofErr w:type="spellEnd"/>
      <w:r w:rsidR="000F23BD" w:rsidRPr="000F23BD">
        <w:t xml:space="preserve"> </w:t>
      </w:r>
      <w:r w:rsidR="00071575">
        <w:t>are</w:t>
      </w:r>
      <w:r w:rsidR="00071575" w:rsidRPr="000F23BD">
        <w:t xml:space="preserve"> </w:t>
      </w:r>
      <w:r w:rsidR="000F23BD" w:rsidRPr="000F23BD">
        <w:t xml:space="preserve">labeled in orange, and reference genomes of the </w:t>
      </w:r>
      <w:r w:rsidR="000F23BD" w:rsidRPr="00895744">
        <w:rPr>
          <w:i/>
        </w:rPr>
        <w:t>Competibacter</w:t>
      </w:r>
      <w:r w:rsidR="000F23BD" w:rsidRPr="000F23BD">
        <w:t xml:space="preserve"> lineage (Brand et al., 2019;</w:t>
      </w:r>
      <w:r w:rsidR="004D5A08" w:rsidRPr="004D5A08">
        <w:t xml:space="preserve"> </w:t>
      </w:r>
      <w:bookmarkStart w:id="0" w:name="_Hlk53834318"/>
      <w:proofErr w:type="spellStart"/>
      <w:r w:rsidR="000F23BD" w:rsidRPr="000F23BD">
        <w:t>Mcllroy</w:t>
      </w:r>
      <w:proofErr w:type="spellEnd"/>
      <w:r w:rsidR="000F23BD" w:rsidRPr="000F23BD">
        <w:t xml:space="preserve"> et al., 201</w:t>
      </w:r>
      <w:r w:rsidR="004D5A08">
        <w:t>4;</w:t>
      </w:r>
      <w:bookmarkEnd w:id="0"/>
      <w:r w:rsidR="00F04393">
        <w:t xml:space="preserve"> </w:t>
      </w:r>
      <w:proofErr w:type="spellStart"/>
      <w:r w:rsidR="000F23BD" w:rsidRPr="000F23BD">
        <w:t>Mcllroy</w:t>
      </w:r>
      <w:proofErr w:type="spellEnd"/>
      <w:r w:rsidR="000F23BD" w:rsidRPr="000F23BD">
        <w:t xml:space="preserve"> et al., 2015) beyond the genus of </w:t>
      </w:r>
      <w:proofErr w:type="spellStart"/>
      <w:r w:rsidR="000F23BD" w:rsidRPr="000F23BD">
        <w:t>Competibacter</w:t>
      </w:r>
      <w:proofErr w:type="spellEnd"/>
      <w:r w:rsidR="000F23BD" w:rsidRPr="000F23BD">
        <w:t xml:space="preserve"> </w:t>
      </w:r>
      <w:r w:rsidR="00071575">
        <w:t xml:space="preserve">are </w:t>
      </w:r>
      <w:r w:rsidR="000F23BD" w:rsidRPr="000F23BD">
        <w:t>highlighted in blue.</w:t>
      </w:r>
      <w:r w:rsidR="0078309B" w:rsidRPr="0078309B">
        <w:t xml:space="preserve"> All references genomes annotatable at the genus level </w:t>
      </w:r>
      <w:r w:rsidR="00071575">
        <w:t>are</w:t>
      </w:r>
      <w:r w:rsidR="00071575" w:rsidRPr="0078309B">
        <w:t xml:space="preserve"> </w:t>
      </w:r>
      <w:r w:rsidR="0078309B" w:rsidRPr="0078309B">
        <w:t xml:space="preserve">italicized and corresponding genus names </w:t>
      </w:r>
      <w:r w:rsidR="00071575">
        <w:t>are</w:t>
      </w:r>
      <w:r w:rsidR="00071575" w:rsidRPr="0078309B">
        <w:t xml:space="preserve"> </w:t>
      </w:r>
      <w:r w:rsidR="0078309B" w:rsidRPr="0078309B">
        <w:t>shown</w:t>
      </w:r>
      <w:r w:rsidR="00071575">
        <w:t xml:space="preserve"> in parentheses</w:t>
      </w:r>
      <w:r w:rsidR="0078309B" w:rsidRPr="0078309B">
        <w:t>.</w:t>
      </w:r>
    </w:p>
    <w:p w14:paraId="24CAD05F" w14:textId="77777777" w:rsidR="00581340" w:rsidRPr="000F23BD" w:rsidRDefault="00581340">
      <w:pPr>
        <w:rPr>
          <w:rFonts w:eastAsiaTheme="minorEastAsia"/>
        </w:rPr>
        <w:sectPr w:rsidR="00581340" w:rsidRPr="000F23BD">
          <w:pgSz w:w="12240" w:h="15840"/>
          <w:pgMar w:top="1440" w:right="1440" w:bottom="1440" w:left="1440" w:header="720" w:footer="720" w:gutter="0"/>
          <w:cols w:space="720"/>
          <w:docGrid w:linePitch="400"/>
        </w:sectPr>
      </w:pPr>
      <w:bookmarkStart w:id="1" w:name="_GoBack"/>
      <w:bookmarkEnd w:id="1"/>
    </w:p>
    <w:p w14:paraId="13A88FBA" w14:textId="77777777" w:rsidR="00581340" w:rsidRDefault="00581340">
      <w:pPr>
        <w:rPr>
          <w:rFonts w:eastAsiaTheme="minorEastAsia"/>
        </w:rPr>
      </w:pPr>
    </w:p>
    <w:p w14:paraId="449E836C" w14:textId="77777777" w:rsidR="00581340" w:rsidRDefault="0035347A">
      <w:pPr>
        <w:rPr>
          <w:rFonts w:eastAsiaTheme="minorEastAsia"/>
        </w:rPr>
      </w:pPr>
      <w:r>
        <w:rPr>
          <w:noProof/>
        </w:rPr>
        <w:drawing>
          <wp:inline distT="0" distB="0" distL="0" distR="0" wp14:anchorId="4F979AE4" wp14:editId="061DF83F">
            <wp:extent cx="5943600" cy="4759325"/>
            <wp:effectExtent l="0" t="0" r="0" b="317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ell phone&#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4759325"/>
                    </a:xfrm>
                    <a:prstGeom prst="rect">
                      <a:avLst/>
                    </a:prstGeom>
                  </pic:spPr>
                </pic:pic>
              </a:graphicData>
            </a:graphic>
          </wp:inline>
        </w:drawing>
      </w:r>
    </w:p>
    <w:p w14:paraId="1024B090" w14:textId="4455CF17" w:rsidR="00581340" w:rsidRPr="00895744" w:rsidRDefault="00581340">
      <w:pPr>
        <w:rPr>
          <w:rFonts w:eastAsiaTheme="minorEastAsia"/>
        </w:rPr>
      </w:pPr>
    </w:p>
    <w:p w14:paraId="6A962E1F" w14:textId="25D0DEF6" w:rsidR="00581340" w:rsidRDefault="0035347A">
      <w:pPr>
        <w:jc w:val="both"/>
        <w:rPr>
          <w:rFonts w:cs="Times New Roman"/>
          <w:iCs/>
        </w:rPr>
      </w:pPr>
      <w:r w:rsidRPr="00895744">
        <w:rPr>
          <w:rFonts w:cs="Times New Roman"/>
          <w:b/>
          <w:iCs/>
        </w:rPr>
        <w:t>Figure S</w:t>
      </w:r>
      <w:r w:rsidR="00485141">
        <w:rPr>
          <w:rFonts w:cs="Times New Roman"/>
          <w:b/>
          <w:iCs/>
        </w:rPr>
        <w:t>3</w:t>
      </w:r>
      <w:r>
        <w:rPr>
          <w:rFonts w:cs="Times New Roman"/>
          <w:iCs/>
        </w:rPr>
        <w:t xml:space="preserve">. Denitrification gene expression under different redox conditions. The relative gene expression under anoxic and aerobic conditions was normalized to the RNA-RPKM value under anaerobic conditions. The relative gene expression is averaged across propionate and acetate fed cycles. Blue indicates up-regulation and red indicates down-regulation, relative to anaerobic conditions. Abundances of the gene transcripts expressed by each MAG are indicated by the size of the bubbles. 0- Nitrate/Nitrite transporter, 1- Nitrate reduction, 2- Nitrite reduction, 3- Nitric oxide reduction, and 4- Nitrous oxide reduction. </w:t>
      </w:r>
    </w:p>
    <w:p w14:paraId="7E9630EF" w14:textId="77777777" w:rsidR="00581340" w:rsidRDefault="00581340">
      <w:pPr>
        <w:ind w:left="-990" w:right="-990"/>
        <w:jc w:val="both"/>
        <w:rPr>
          <w:rFonts w:cs="Times New Roman"/>
          <w:iCs/>
        </w:rPr>
      </w:pPr>
    </w:p>
    <w:p w14:paraId="6B59D10C" w14:textId="426B93CC" w:rsidR="00581340" w:rsidRDefault="0035347A">
      <w:pPr>
        <w:sectPr w:rsidR="00581340">
          <w:pgSz w:w="12240" w:h="15840"/>
          <w:pgMar w:top="1440" w:right="1440" w:bottom="1440" w:left="1440" w:header="720" w:footer="720" w:gutter="0"/>
          <w:cols w:space="720"/>
          <w:docGrid w:linePitch="400"/>
        </w:sectPr>
      </w:pPr>
      <w:r>
        <w:br w:type="page"/>
      </w:r>
    </w:p>
    <w:p w14:paraId="6FB5B48A" w14:textId="77777777" w:rsidR="00581340" w:rsidRDefault="0035347A">
      <w:pPr>
        <w:rPr>
          <w:rFonts w:eastAsiaTheme="minorEastAsia"/>
        </w:rPr>
      </w:pPr>
      <w:r>
        <w:rPr>
          <w:rFonts w:cs="Times New Roman" w:hint="eastAsia"/>
          <w:noProof/>
        </w:rPr>
        <w:lastRenderedPageBreak/>
        <w:drawing>
          <wp:inline distT="0" distB="0" distL="0" distR="0" wp14:anchorId="75AC3932" wp14:editId="6B1B280D">
            <wp:extent cx="5943600" cy="587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5876925"/>
                    </a:xfrm>
                    <a:prstGeom prst="rect">
                      <a:avLst/>
                    </a:prstGeom>
                  </pic:spPr>
                </pic:pic>
              </a:graphicData>
            </a:graphic>
          </wp:inline>
        </w:drawing>
      </w:r>
    </w:p>
    <w:p w14:paraId="28DC03A7" w14:textId="77777777" w:rsidR="00581340" w:rsidRDefault="00581340">
      <w:pPr>
        <w:rPr>
          <w:rFonts w:eastAsiaTheme="minorEastAsia"/>
        </w:rPr>
      </w:pPr>
    </w:p>
    <w:p w14:paraId="1B84D857" w14:textId="611B768B" w:rsidR="00581340" w:rsidRDefault="0035347A">
      <w:pPr>
        <w:rPr>
          <w:rFonts w:eastAsiaTheme="minorEastAsia"/>
        </w:rPr>
        <w:sectPr w:rsidR="00581340">
          <w:pgSz w:w="12240" w:h="15840"/>
          <w:pgMar w:top="1440" w:right="1440" w:bottom="1440" w:left="1440" w:header="720" w:footer="720" w:gutter="0"/>
          <w:cols w:space="720"/>
          <w:docGrid w:linePitch="400"/>
        </w:sectPr>
      </w:pPr>
      <w:r w:rsidRPr="00895744">
        <w:rPr>
          <w:b/>
        </w:rPr>
        <w:t>Figure S</w:t>
      </w:r>
      <w:r w:rsidR="00485141">
        <w:rPr>
          <w:b/>
        </w:rPr>
        <w:t>4</w:t>
      </w:r>
      <w:r>
        <w:t>.</w:t>
      </w:r>
      <w:r>
        <w:rPr>
          <w:rFonts w:cs="Times New Roman" w:hint="eastAsia"/>
        </w:rPr>
        <w:t xml:space="preserve"> </w:t>
      </w:r>
      <w:r>
        <w:rPr>
          <w:rFonts w:cs="Times New Roman"/>
        </w:rPr>
        <w:t>G</w:t>
      </w:r>
      <w:r>
        <w:rPr>
          <w:rFonts w:cs="Times New Roman" w:hint="eastAsia"/>
        </w:rPr>
        <w:t>ene expression</w:t>
      </w:r>
      <w:r>
        <w:rPr>
          <w:rFonts w:cs="Times New Roman"/>
        </w:rPr>
        <w:t xml:space="preserve"> patterns (RPKM and relative)</w:t>
      </w:r>
      <w:r>
        <w:rPr>
          <w:rFonts w:cs="Times New Roman" w:hint="eastAsia"/>
        </w:rPr>
        <w:t xml:space="preserve"> of major carbon, electron transport, EPS production and P metabolic pathway</w:t>
      </w:r>
      <w:r>
        <w:rPr>
          <w:rFonts w:cs="Times New Roman"/>
        </w:rPr>
        <w:t>s</w:t>
      </w:r>
      <w:r>
        <w:rPr>
          <w:rFonts w:cs="Times New Roman" w:hint="eastAsia"/>
        </w:rPr>
        <w:t xml:space="preserve"> by each dominant MAG. </w:t>
      </w:r>
      <w:r>
        <w:rPr>
          <w:rFonts w:cs="Times New Roman"/>
        </w:rPr>
        <w:t>The 1</w:t>
      </w:r>
      <w:r>
        <w:rPr>
          <w:rFonts w:cs="Times New Roman"/>
          <w:vertAlign w:val="superscript"/>
        </w:rPr>
        <w:t>st</w:t>
      </w:r>
      <w:r>
        <w:rPr>
          <w:rFonts w:cs="Times New Roman"/>
        </w:rPr>
        <w:t xml:space="preserve"> column on the left represents the RNA-RPKM values of the genes involved under the anaerobic period, and c</w:t>
      </w:r>
      <w:r>
        <w:rPr>
          <w:rFonts w:cs="Times New Roman" w:hint="eastAsia"/>
        </w:rPr>
        <w:t>olors changing from purple to red represents the increase of RPKM values</w:t>
      </w:r>
      <w:r>
        <w:rPr>
          <w:rFonts w:cs="Times New Roman"/>
        </w:rPr>
        <w:t>. The</w:t>
      </w:r>
      <w:r>
        <w:rPr>
          <w:rFonts w:cs="Times New Roman" w:hint="eastAsia"/>
        </w:rPr>
        <w:t xml:space="preserve"> 2</w:t>
      </w:r>
      <w:r>
        <w:rPr>
          <w:rFonts w:cs="Times New Roman" w:hint="eastAsia"/>
          <w:vertAlign w:val="superscript"/>
        </w:rPr>
        <w:t>nd</w:t>
      </w:r>
      <w:r>
        <w:rPr>
          <w:rFonts w:cs="Times New Roman" w:hint="eastAsia"/>
        </w:rPr>
        <w:t xml:space="preserve"> and 3</w:t>
      </w:r>
      <w:r>
        <w:rPr>
          <w:rFonts w:cs="Times New Roman" w:hint="eastAsia"/>
          <w:vertAlign w:val="superscript"/>
        </w:rPr>
        <w:t>rd</w:t>
      </w:r>
      <w:r>
        <w:rPr>
          <w:rFonts w:cs="Times New Roman" w:hint="eastAsia"/>
        </w:rPr>
        <w:t xml:space="preserve"> columns </w:t>
      </w:r>
      <w:r>
        <w:rPr>
          <w:rFonts w:cs="Times New Roman"/>
        </w:rPr>
        <w:t>represent r</w:t>
      </w:r>
      <w:r>
        <w:rPr>
          <w:rFonts w:cs="Times New Roman" w:hint="eastAsia"/>
        </w:rPr>
        <w:t xml:space="preserve">elative gene expression under </w:t>
      </w:r>
      <w:r>
        <w:rPr>
          <w:rFonts w:cs="Times New Roman"/>
        </w:rPr>
        <w:t>the</w:t>
      </w:r>
      <w:r>
        <w:rPr>
          <w:rFonts w:cs="Times New Roman" w:hint="eastAsia"/>
        </w:rPr>
        <w:t xml:space="preserve"> anoxic and aerobic conditions</w:t>
      </w:r>
      <w:r>
        <w:rPr>
          <w:rFonts w:cs="Times New Roman"/>
        </w:rPr>
        <w:t xml:space="preserve">, </w:t>
      </w:r>
      <w:r>
        <w:rPr>
          <w:rFonts w:cs="Times New Roman" w:hint="eastAsia"/>
        </w:rPr>
        <w:t xml:space="preserve">normalized by the </w:t>
      </w:r>
      <w:r>
        <w:rPr>
          <w:rFonts w:cs="Times New Roman"/>
        </w:rPr>
        <w:t>RNA-</w:t>
      </w:r>
      <w:r>
        <w:rPr>
          <w:rFonts w:cs="Times New Roman" w:hint="eastAsia"/>
        </w:rPr>
        <w:t xml:space="preserve">RPKM values under </w:t>
      </w:r>
      <w:r>
        <w:rPr>
          <w:rFonts w:cs="Times New Roman"/>
        </w:rPr>
        <w:t xml:space="preserve">the </w:t>
      </w:r>
      <w:r>
        <w:rPr>
          <w:rFonts w:cs="Times New Roman" w:hint="eastAsia"/>
        </w:rPr>
        <w:t>anaerobic condition. MAG</w:t>
      </w:r>
      <w:r>
        <w:rPr>
          <w:rFonts w:cs="Times New Roman"/>
        </w:rPr>
        <w:t>s</w:t>
      </w:r>
      <w:r>
        <w:rPr>
          <w:rFonts w:cs="Times New Roman" w:hint="eastAsia"/>
        </w:rPr>
        <w:t xml:space="preserve"> with missing genes in the pathways are marked as blank in the heatmap</w:t>
      </w:r>
      <w:r>
        <w:rPr>
          <w:rFonts w:cs="Times New Roman"/>
        </w:rPr>
        <w:t>.</w:t>
      </w:r>
      <w:r>
        <w:rPr>
          <w:rFonts w:eastAsiaTheme="minorEastAsia" w:hint="eastAsia"/>
        </w:rPr>
        <w:t xml:space="preserve"> </w:t>
      </w:r>
    </w:p>
    <w:p w14:paraId="526C3DB2" w14:textId="77777777" w:rsidR="00581340" w:rsidRDefault="0035347A">
      <w:pPr>
        <w:spacing w:after="120"/>
        <w:jc w:val="both"/>
      </w:pPr>
      <w:r>
        <w:rPr>
          <w:noProof/>
        </w:rPr>
        <w:lastRenderedPageBreak/>
        <w:drawing>
          <wp:inline distT="0" distB="0" distL="0" distR="0" wp14:anchorId="0BDC625A" wp14:editId="20B5D244">
            <wp:extent cx="8191500" cy="2205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8191500" cy="2206238"/>
                    </a:xfrm>
                    <a:prstGeom prst="rect">
                      <a:avLst/>
                    </a:prstGeom>
                    <a:noFill/>
                  </pic:spPr>
                </pic:pic>
              </a:graphicData>
            </a:graphic>
          </wp:inline>
        </w:drawing>
      </w:r>
    </w:p>
    <w:p w14:paraId="1D87C96E" w14:textId="64BC0CB9" w:rsidR="00581340" w:rsidRDefault="0035347A">
      <w:pPr>
        <w:rPr>
          <w:rFonts w:eastAsiaTheme="minorEastAsia"/>
        </w:rPr>
        <w:sectPr w:rsidR="00581340">
          <w:pgSz w:w="15840" w:h="12240" w:orient="landscape"/>
          <w:pgMar w:top="1440" w:right="1440" w:bottom="1440" w:left="1440" w:header="720" w:footer="720" w:gutter="0"/>
          <w:cols w:space="720"/>
          <w:docGrid w:linePitch="400"/>
        </w:sectPr>
      </w:pPr>
      <w:r w:rsidRPr="00895744">
        <w:rPr>
          <w:b/>
        </w:rPr>
        <w:t>Figure S</w:t>
      </w:r>
      <w:r w:rsidR="00485141">
        <w:rPr>
          <w:b/>
        </w:rPr>
        <w:t>5</w:t>
      </w:r>
      <w:r>
        <w:t>.  RNA-RPKM based quantification of gene transcripts associated with the key metabolism in each of the 6 identified highly active MAGs. Gene transcripts expressed by different MAGs were presented in different colors, and the height of each bar represents the proportion of gene transcripts expressed by each MAG</w:t>
      </w:r>
      <w:r>
        <w:rPr>
          <w:lang w:eastAsia="zh-TW"/>
        </w:rPr>
        <w:t>. The RNA-RPKM values were averaged across the six metatranscriptome datasets. The specific RNA-RPKM values of genes associated with the metabolism in this figure can be found in the appendix file 3</w:t>
      </w:r>
      <w:r>
        <w:rPr>
          <w:rFonts w:hint="eastAsia"/>
          <w:lang w:eastAsia="zh-TW"/>
        </w:rPr>
        <w:t>.</w:t>
      </w:r>
      <w:r>
        <w:t xml:space="preserve"> </w:t>
      </w:r>
    </w:p>
    <w:p w14:paraId="7D474CC9" w14:textId="77777777" w:rsidR="00581340" w:rsidRDefault="00581340">
      <w:pPr>
        <w:rPr>
          <w:rFonts w:eastAsiaTheme="minorEastAsia"/>
        </w:rPr>
      </w:pPr>
    </w:p>
    <w:p w14:paraId="3359B454" w14:textId="77777777" w:rsidR="00581340" w:rsidRDefault="0035347A">
      <w:pPr>
        <w:jc w:val="center"/>
        <w:rPr>
          <w:rFonts w:cs="Times New Roman"/>
        </w:rPr>
      </w:pPr>
      <w:r>
        <w:rPr>
          <w:rFonts w:cs="Times New Roman" w:hint="eastAsia"/>
          <w:noProof/>
        </w:rPr>
        <w:drawing>
          <wp:inline distT="0" distB="0" distL="0" distR="0" wp14:anchorId="7A503DB0" wp14:editId="735B719C">
            <wp:extent cx="5753100" cy="57531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53100" cy="5753100"/>
                    </a:xfrm>
                    <a:prstGeom prst="rect">
                      <a:avLst/>
                    </a:prstGeom>
                  </pic:spPr>
                </pic:pic>
              </a:graphicData>
            </a:graphic>
          </wp:inline>
        </w:drawing>
      </w:r>
    </w:p>
    <w:p w14:paraId="1367D75B" w14:textId="24A640BE" w:rsidR="00581340" w:rsidRDefault="0035347A">
      <w:pPr>
        <w:jc w:val="both"/>
        <w:rPr>
          <w:rFonts w:cs="Times New Roman"/>
        </w:rPr>
      </w:pPr>
      <w:r w:rsidRPr="00895744">
        <w:rPr>
          <w:rFonts w:cs="Times New Roman"/>
          <w:b/>
        </w:rPr>
        <w:t>Figure S</w:t>
      </w:r>
      <w:r w:rsidR="00485141">
        <w:rPr>
          <w:rFonts w:cs="Times New Roman"/>
          <w:b/>
        </w:rPr>
        <w:t>6</w:t>
      </w:r>
      <w:r>
        <w:rPr>
          <w:rFonts w:cs="Times New Roman"/>
        </w:rPr>
        <w:t>. CAZy g</w:t>
      </w:r>
      <w:r>
        <w:rPr>
          <w:rFonts w:cs="Times New Roman" w:hint="eastAsia"/>
        </w:rPr>
        <w:t>ene expression</w:t>
      </w:r>
      <w:r>
        <w:rPr>
          <w:rFonts w:cs="Times New Roman"/>
        </w:rPr>
        <w:t xml:space="preserve"> in</w:t>
      </w:r>
      <w:r>
        <w:rPr>
          <w:rFonts w:cs="Times New Roman" w:hint="eastAsia"/>
        </w:rPr>
        <w:t xml:space="preserve"> </w:t>
      </w:r>
      <w:r>
        <w:rPr>
          <w:rFonts w:cs="Times New Roman"/>
        </w:rPr>
        <w:t>the 6 dominant</w:t>
      </w:r>
      <w:r>
        <w:rPr>
          <w:rFonts w:cs="Times New Roman" w:hint="eastAsia"/>
        </w:rPr>
        <w:t xml:space="preserve"> MAG</w:t>
      </w:r>
      <w:r>
        <w:rPr>
          <w:rFonts w:cs="Times New Roman"/>
        </w:rPr>
        <w:t>s (in terms of gene expression)</w:t>
      </w:r>
      <w:r>
        <w:rPr>
          <w:rFonts w:cs="Times New Roman" w:hint="eastAsia"/>
        </w:rPr>
        <w:t xml:space="preserve">. </w:t>
      </w:r>
      <w:r>
        <w:rPr>
          <w:rFonts w:cs="Times New Roman"/>
        </w:rPr>
        <w:t>The 1</w:t>
      </w:r>
      <w:r>
        <w:rPr>
          <w:rFonts w:cs="Times New Roman"/>
          <w:vertAlign w:val="superscript"/>
        </w:rPr>
        <w:t>st</w:t>
      </w:r>
      <w:r>
        <w:rPr>
          <w:rFonts w:cs="Times New Roman"/>
        </w:rPr>
        <w:t xml:space="preserve"> column on the left summarizes the RNA-RPKM values of each gene under the anaerobic period, where the size of each bubble represents the RNA-RPKM values. The</w:t>
      </w:r>
      <w:r>
        <w:rPr>
          <w:rFonts w:cs="Times New Roman" w:hint="eastAsia"/>
        </w:rPr>
        <w:t xml:space="preserve"> 2</w:t>
      </w:r>
      <w:r>
        <w:rPr>
          <w:rFonts w:cs="Times New Roman" w:hint="eastAsia"/>
          <w:vertAlign w:val="superscript"/>
        </w:rPr>
        <w:t>nd</w:t>
      </w:r>
      <w:r>
        <w:rPr>
          <w:rFonts w:cs="Times New Roman" w:hint="eastAsia"/>
        </w:rPr>
        <w:t xml:space="preserve"> and 3</w:t>
      </w:r>
      <w:r>
        <w:rPr>
          <w:rFonts w:cs="Times New Roman" w:hint="eastAsia"/>
          <w:vertAlign w:val="superscript"/>
        </w:rPr>
        <w:t>rd</w:t>
      </w:r>
      <w:r>
        <w:rPr>
          <w:rFonts w:cs="Times New Roman" w:hint="eastAsia"/>
        </w:rPr>
        <w:t xml:space="preserve"> columns </w:t>
      </w:r>
      <w:r>
        <w:rPr>
          <w:rFonts w:cs="Times New Roman"/>
        </w:rPr>
        <w:t>represent r</w:t>
      </w:r>
      <w:r>
        <w:rPr>
          <w:rFonts w:cs="Times New Roman" w:hint="eastAsia"/>
        </w:rPr>
        <w:t xml:space="preserve">elative gene expression under </w:t>
      </w:r>
      <w:r>
        <w:rPr>
          <w:rFonts w:cs="Times New Roman"/>
        </w:rPr>
        <w:t>the</w:t>
      </w:r>
      <w:r>
        <w:rPr>
          <w:rFonts w:cs="Times New Roman" w:hint="eastAsia"/>
        </w:rPr>
        <w:t xml:space="preserve"> anoxic and aerobic conditions</w:t>
      </w:r>
      <w:r>
        <w:rPr>
          <w:rFonts w:cs="Times New Roman"/>
        </w:rPr>
        <w:t xml:space="preserve">, </w:t>
      </w:r>
      <w:r>
        <w:rPr>
          <w:rFonts w:cs="Times New Roman" w:hint="eastAsia"/>
        </w:rPr>
        <w:t xml:space="preserve">normalized by the </w:t>
      </w:r>
      <w:r>
        <w:rPr>
          <w:rFonts w:cs="Times New Roman"/>
        </w:rPr>
        <w:t>RNA-</w:t>
      </w:r>
      <w:r>
        <w:rPr>
          <w:rFonts w:cs="Times New Roman" w:hint="eastAsia"/>
        </w:rPr>
        <w:t xml:space="preserve">RPKM values under </w:t>
      </w:r>
      <w:r>
        <w:rPr>
          <w:rFonts w:cs="Times New Roman"/>
        </w:rPr>
        <w:t xml:space="preserve">the </w:t>
      </w:r>
      <w:r>
        <w:rPr>
          <w:rFonts w:cs="Times New Roman" w:hint="eastAsia"/>
        </w:rPr>
        <w:t xml:space="preserve">anaerobic condition. </w:t>
      </w:r>
      <w:r>
        <w:rPr>
          <w:rFonts w:cs="Times New Roman"/>
        </w:rPr>
        <w:t>GH: glycoside hydrolases</w:t>
      </w:r>
      <w:r>
        <w:rPr>
          <w:rFonts w:cs="Times New Roman" w:hint="eastAsia"/>
        </w:rPr>
        <w:t xml:space="preserve">, </w:t>
      </w:r>
      <w:r>
        <w:rPr>
          <w:rFonts w:cs="Times New Roman"/>
        </w:rPr>
        <w:t>CBM: carbohydrate-binding module</w:t>
      </w:r>
    </w:p>
    <w:p w14:paraId="11BD7390" w14:textId="77777777" w:rsidR="00581340" w:rsidRDefault="00581340">
      <w:pPr>
        <w:jc w:val="both"/>
        <w:rPr>
          <w:rFonts w:eastAsiaTheme="minorEastAsia" w:cs="Times New Roman"/>
        </w:rPr>
      </w:pPr>
    </w:p>
    <w:p w14:paraId="2C0702F3" w14:textId="1D41048E" w:rsidR="00581340" w:rsidRDefault="00581340">
      <w:pPr>
        <w:jc w:val="both"/>
        <w:rPr>
          <w:rFonts w:eastAsiaTheme="minorEastAsia" w:cs="Times New Roman"/>
        </w:rPr>
      </w:pPr>
    </w:p>
    <w:p w14:paraId="2409017D" w14:textId="7E380E35" w:rsidR="00581340" w:rsidRDefault="00581340">
      <w:pPr>
        <w:jc w:val="both"/>
        <w:rPr>
          <w:rFonts w:cs="Times New Roman"/>
        </w:rPr>
      </w:pPr>
    </w:p>
    <w:p w14:paraId="088AF0C1" w14:textId="77777777" w:rsidR="00581340" w:rsidRDefault="00581340"/>
    <w:p w14:paraId="5542D582" w14:textId="77777777" w:rsidR="00581340" w:rsidRDefault="00581340">
      <w:pPr>
        <w:sectPr w:rsidR="00581340">
          <w:pgSz w:w="12240" w:h="15840"/>
          <w:pgMar w:top="1440" w:right="1440" w:bottom="1440" w:left="1440" w:header="720" w:footer="720" w:gutter="0"/>
          <w:cols w:space="720"/>
          <w:docGrid w:linePitch="400"/>
        </w:sectPr>
      </w:pPr>
    </w:p>
    <w:p w14:paraId="0005BB51" w14:textId="77777777" w:rsidR="00581340" w:rsidRDefault="00581340"/>
    <w:p w14:paraId="76EFB2CB" w14:textId="77777777" w:rsidR="00581340" w:rsidRDefault="0035347A">
      <w:pPr>
        <w:jc w:val="center"/>
      </w:pPr>
      <w:r>
        <w:rPr>
          <w:noProof/>
        </w:rPr>
        <w:drawing>
          <wp:inline distT="0" distB="0" distL="0" distR="0" wp14:anchorId="3575F366" wp14:editId="09075152">
            <wp:extent cx="5943600" cy="34099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64AB0191" w14:textId="47860C2D" w:rsidR="00581340" w:rsidRDefault="0035347A">
      <w:r w:rsidRPr="00895744">
        <w:rPr>
          <w:b/>
        </w:rPr>
        <w:t xml:space="preserve">Figure </w:t>
      </w:r>
      <w:r w:rsidR="00497209" w:rsidRPr="00895744">
        <w:rPr>
          <w:b/>
        </w:rPr>
        <w:t>S</w:t>
      </w:r>
      <w:r w:rsidR="00A379D7">
        <w:rPr>
          <w:b/>
        </w:rPr>
        <w:t>7</w:t>
      </w:r>
      <w:r>
        <w:t>. Distribution of the aggregate size characterized via particle size analyzer. Blue indicate volume %, and green indicates cumulative volume %.</w:t>
      </w:r>
    </w:p>
    <w:p w14:paraId="0F680DFE" w14:textId="77777777" w:rsidR="00581340" w:rsidRDefault="0035347A">
      <w:r>
        <w:br w:type="page"/>
      </w:r>
    </w:p>
    <w:p w14:paraId="688F962B" w14:textId="77777777" w:rsidR="007517B6" w:rsidRPr="00461D19" w:rsidRDefault="007517B6" w:rsidP="007517B6">
      <w:pPr>
        <w:pStyle w:val="EndNoteBibliography"/>
      </w:pPr>
      <w:r w:rsidRPr="00461D19">
        <w:rPr>
          <w:b/>
        </w:rPr>
        <w:lastRenderedPageBreak/>
        <w:t>Supplementary Information – References</w:t>
      </w:r>
    </w:p>
    <w:p w14:paraId="1A59E9BB" w14:textId="77777777" w:rsidR="00B63F52" w:rsidRDefault="00B63F52" w:rsidP="00B63F52">
      <w:pPr>
        <w:pStyle w:val="EndNoteBibliography"/>
        <w:ind w:left="360" w:hanging="360"/>
      </w:pPr>
      <w:r w:rsidRPr="001A1F46">
        <w:t xml:space="preserve">Brand, V. R., Crosby, L. D., &amp; </w:t>
      </w:r>
      <w:proofErr w:type="spellStart"/>
      <w:r w:rsidRPr="001A1F46">
        <w:t>Criddle</w:t>
      </w:r>
      <w:proofErr w:type="spellEnd"/>
      <w:r w:rsidRPr="001A1F46">
        <w:t>, C. S. (2019). Niche differentiation among three closely related Competibacteraceae clades at a full-scale activated sludge wastewater treatment plant and putative linkages to process performance. </w:t>
      </w:r>
      <w:r w:rsidRPr="001A1F46">
        <w:rPr>
          <w:i/>
          <w:iCs w:val="0"/>
        </w:rPr>
        <w:t>Applied and environmental microbiology</w:t>
      </w:r>
      <w:r w:rsidRPr="001A1F46">
        <w:t>, </w:t>
      </w:r>
      <w:r w:rsidRPr="001A1F46">
        <w:rPr>
          <w:b/>
          <w:bCs/>
        </w:rPr>
        <w:t>85</w:t>
      </w:r>
      <w:r w:rsidRPr="001A1F46">
        <w:t>(5).</w:t>
      </w:r>
    </w:p>
    <w:p w14:paraId="25ED757C" w14:textId="6E369796" w:rsidR="00581340" w:rsidRDefault="007858E9" w:rsidP="007858E9">
      <w:pPr>
        <w:pStyle w:val="EndNoteBibliography"/>
        <w:ind w:left="360" w:hanging="360"/>
      </w:pPr>
      <w:bookmarkStart w:id="2" w:name="_ENREF_42"/>
      <w:r>
        <w:t xml:space="preserve">McIlroy, S.J., </w:t>
      </w:r>
      <w:proofErr w:type="spellStart"/>
      <w:r>
        <w:t>Albertsen</w:t>
      </w:r>
      <w:proofErr w:type="spellEnd"/>
      <w:r>
        <w:t xml:space="preserve">, M., Andresen, E.K., Saunders, A.M., Kristiansen, R., </w:t>
      </w:r>
      <w:proofErr w:type="spellStart"/>
      <w:r>
        <w:t>Stokholm-Bjerregaard</w:t>
      </w:r>
      <w:proofErr w:type="spellEnd"/>
      <w:r>
        <w:t xml:space="preserve">, M.S., </w:t>
      </w:r>
      <w:proofErr w:type="spellStart"/>
      <w:r>
        <w:t>Neilsen</w:t>
      </w:r>
      <w:proofErr w:type="spellEnd"/>
      <w:r>
        <w:t xml:space="preserve"> K.L., and Nielsen P.H. (2014) 'Candidatus Competibacter'-lineage genomes retrieved from metagenomes reveal functional metabolic diversity. </w:t>
      </w:r>
      <w:r>
        <w:rPr>
          <w:i/>
        </w:rPr>
        <w:t>ISME J</w:t>
      </w:r>
      <w:r>
        <w:t xml:space="preserve"> </w:t>
      </w:r>
      <w:r>
        <w:rPr>
          <w:b/>
        </w:rPr>
        <w:t>8</w:t>
      </w:r>
      <w:r>
        <w:t>: 613-624.</w:t>
      </w:r>
      <w:bookmarkEnd w:id="2"/>
    </w:p>
    <w:p w14:paraId="5A9EFCFC" w14:textId="66BE540B" w:rsidR="007858E9" w:rsidRPr="007858E9" w:rsidRDefault="007858E9" w:rsidP="007858E9">
      <w:pPr>
        <w:pStyle w:val="EndNoteBibliography"/>
        <w:ind w:left="360" w:hanging="360"/>
        <w:rPr>
          <w:rFonts w:eastAsiaTheme="minorEastAsia"/>
        </w:rPr>
      </w:pPr>
      <w:r w:rsidRPr="001A1F46">
        <w:t xml:space="preserve">McIlroy, S.J., </w:t>
      </w:r>
      <w:proofErr w:type="spellStart"/>
      <w:r w:rsidRPr="001A1F46">
        <w:t>Nittami</w:t>
      </w:r>
      <w:proofErr w:type="spellEnd"/>
      <w:r w:rsidRPr="001A1F46">
        <w:t>, T., Kanai, E., Fukuda, J., Saunders, A. M., &amp; Nielsen, P. H. (2015). Re</w:t>
      </w:r>
      <w:r w:rsidRPr="001A1F46">
        <w:rPr>
          <w:rFonts w:hint="eastAsia"/>
        </w:rPr>
        <w:t>‐</w:t>
      </w:r>
      <w:r w:rsidRPr="001A1F46">
        <w:t>appraisal of the phylogeny and fluorescence in situ hybridization probes for the analysis of the Competibacteraceae in wastewater treatment systems. </w:t>
      </w:r>
      <w:r w:rsidRPr="001A1F46">
        <w:rPr>
          <w:i/>
          <w:iCs w:val="0"/>
        </w:rPr>
        <w:t>Environmental Microbiology Reports</w:t>
      </w:r>
      <w:r w:rsidRPr="001A1F46">
        <w:t> </w:t>
      </w:r>
      <w:r w:rsidRPr="001A1F46">
        <w:rPr>
          <w:b/>
          <w:bCs/>
        </w:rPr>
        <w:t>7</w:t>
      </w:r>
      <w:r>
        <w:t>:</w:t>
      </w:r>
      <w:r w:rsidRPr="001A1F46">
        <w:t>166-174.</w:t>
      </w:r>
    </w:p>
    <w:p w14:paraId="21C0CFF8" w14:textId="77777777" w:rsidR="00581340" w:rsidRDefault="0035347A" w:rsidP="00895744">
      <w:pPr>
        <w:pStyle w:val="EndNoteBibliography"/>
        <w:ind w:left="360" w:hanging="360"/>
      </w:pPr>
      <w:bookmarkStart w:id="3" w:name="_Hlk46910069"/>
      <w:proofErr w:type="spellStart"/>
      <w:r>
        <w:t>Maldarelli</w:t>
      </w:r>
      <w:bookmarkEnd w:id="3"/>
      <w:proofErr w:type="spellEnd"/>
      <w:r>
        <w:t xml:space="preserve">, G. A., </w:t>
      </w:r>
      <w:proofErr w:type="spellStart"/>
      <w:r>
        <w:t>Piepenbrink</w:t>
      </w:r>
      <w:proofErr w:type="spellEnd"/>
      <w:r>
        <w:t xml:space="preserve">, K. H., Scott, A. J., Freiberg, J. A., Song, Y., </w:t>
      </w:r>
      <w:proofErr w:type="spellStart"/>
      <w:r>
        <w:t>Achermann</w:t>
      </w:r>
      <w:proofErr w:type="spellEnd"/>
      <w:r>
        <w:t xml:space="preserve">, Y., ... &amp; von </w:t>
      </w:r>
      <w:proofErr w:type="spellStart"/>
      <w:r>
        <w:t>Rosenvinge</w:t>
      </w:r>
      <w:proofErr w:type="spellEnd"/>
      <w:r>
        <w:t xml:space="preserve">, E. C. (2016). Type IV pili promote early biofilm formation by Clostridium difficile. </w:t>
      </w:r>
      <w:r>
        <w:rPr>
          <w:i/>
          <w:iCs w:val="0"/>
        </w:rPr>
        <w:t>FEMS Pathogens and Disease</w:t>
      </w:r>
      <w:r>
        <w:t xml:space="preserve">, </w:t>
      </w:r>
      <w:r>
        <w:rPr>
          <w:b/>
          <w:bCs/>
        </w:rPr>
        <w:t>74:</w:t>
      </w:r>
      <w:r>
        <w:t xml:space="preserve"> ftw061.</w:t>
      </w:r>
    </w:p>
    <w:p w14:paraId="7CF7203A" w14:textId="77777777" w:rsidR="00581340" w:rsidRDefault="0035347A" w:rsidP="00895744">
      <w:pPr>
        <w:pStyle w:val="EndNoteBibliography"/>
        <w:ind w:left="360" w:hanging="360"/>
      </w:pPr>
      <w:bookmarkStart w:id="4" w:name="_Hlk46895046"/>
      <w:proofErr w:type="spellStart"/>
      <w:r>
        <w:t>Pohlschroder</w:t>
      </w:r>
      <w:proofErr w:type="spellEnd"/>
      <w:r>
        <w:t>, M., &amp; Esquivel, R. N. (2015)</w:t>
      </w:r>
      <w:bookmarkEnd w:id="4"/>
      <w:r>
        <w:t xml:space="preserve">. Archaeal type IV pili and their involvement in biofilm formation. </w:t>
      </w:r>
      <w:r>
        <w:rPr>
          <w:i/>
          <w:iCs w:val="0"/>
        </w:rPr>
        <w:t>Frontiers in microbiology</w:t>
      </w:r>
      <w:r>
        <w:t xml:space="preserve">, </w:t>
      </w:r>
      <w:r>
        <w:rPr>
          <w:b/>
          <w:bCs/>
        </w:rPr>
        <w:t>6:</w:t>
      </w:r>
      <w:r>
        <w:t xml:space="preserve"> 190.</w:t>
      </w:r>
    </w:p>
    <w:p w14:paraId="2F9C47AF" w14:textId="29B12DB0" w:rsidR="00581340" w:rsidRDefault="0035347A">
      <w:pPr>
        <w:pStyle w:val="EndNoteBibliography"/>
        <w:ind w:left="360" w:hanging="360"/>
      </w:pPr>
      <w:proofErr w:type="spellStart"/>
      <w:r>
        <w:t>Shultis</w:t>
      </w:r>
      <w:proofErr w:type="spellEnd"/>
      <w:r>
        <w:t xml:space="preserve">, D.D., Purdy, M.D., </w:t>
      </w:r>
      <w:proofErr w:type="spellStart"/>
      <w:r>
        <w:t>Banchs</w:t>
      </w:r>
      <w:proofErr w:type="spellEnd"/>
      <w:r>
        <w:t xml:space="preserve">, C.N., Wiener, M.C. (2006) Outer Membrane Active Transport: Structure of the </w:t>
      </w:r>
      <w:proofErr w:type="spellStart"/>
      <w:r>
        <w:t>BtuB:TonB</w:t>
      </w:r>
      <w:proofErr w:type="spellEnd"/>
      <w:r>
        <w:t xml:space="preserve"> Complex. </w:t>
      </w:r>
      <w:r>
        <w:rPr>
          <w:i/>
        </w:rPr>
        <w:t>Science</w:t>
      </w:r>
      <w:r>
        <w:t xml:space="preserve"> </w:t>
      </w:r>
      <w:r>
        <w:rPr>
          <w:b/>
        </w:rPr>
        <w:t>312</w:t>
      </w:r>
      <w:r>
        <w:t>: 1396-1398.</w:t>
      </w:r>
    </w:p>
    <w:p w14:paraId="0D328B36" w14:textId="77777777" w:rsidR="005205AF" w:rsidRDefault="005205AF" w:rsidP="005205AF">
      <w:pPr>
        <w:pStyle w:val="EndNoteBibliography"/>
        <w:ind w:left="360" w:hanging="360"/>
      </w:pPr>
    </w:p>
    <w:sectPr w:rsidR="005205AF">
      <w:pgSz w:w="15840" w:h="12240" w:orient="landscape"/>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7B3D6" w14:textId="77777777" w:rsidR="00675072" w:rsidRDefault="00675072" w:rsidP="004513D8">
      <w:r>
        <w:separator/>
      </w:r>
    </w:p>
  </w:endnote>
  <w:endnote w:type="continuationSeparator" w:id="0">
    <w:p w14:paraId="5F5B0777" w14:textId="77777777" w:rsidR="00675072" w:rsidRDefault="00675072" w:rsidP="00451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sukushi A Round Gothic Bold">
    <w:altName w:val="Yu Gothic"/>
    <w:panose1 w:val="02020700000000000000"/>
    <w:charset w:val="80"/>
    <w:family w:val="auto"/>
    <w:pitch w:val="variable"/>
    <w:sig w:usb0="800002CF" w:usb1="68C7FCFC" w:usb2="00000012" w:usb3="00000000" w:csb0="00020005"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C9025" w14:textId="77777777" w:rsidR="00675072" w:rsidRDefault="00675072" w:rsidP="004513D8">
      <w:r>
        <w:separator/>
      </w:r>
    </w:p>
  </w:footnote>
  <w:footnote w:type="continuationSeparator" w:id="0">
    <w:p w14:paraId="5210B957" w14:textId="77777777" w:rsidR="00675072" w:rsidRDefault="00675072" w:rsidP="00451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87FBE"/>
    <w:multiLevelType w:val="hybridMultilevel"/>
    <w:tmpl w:val="F6941F92"/>
    <w:lvl w:ilvl="0" w:tplc="8FC4B3F2">
      <w:start w:val="1"/>
      <w:numFmt w:val="bullet"/>
      <w:lvlText w:val="•"/>
      <w:lvlJc w:val="left"/>
      <w:pPr>
        <w:tabs>
          <w:tab w:val="num" w:pos="720"/>
        </w:tabs>
        <w:ind w:left="720" w:hanging="360"/>
      </w:pPr>
      <w:rPr>
        <w:rFonts w:ascii="Arial" w:hAnsi="Arial" w:hint="default"/>
      </w:rPr>
    </w:lvl>
    <w:lvl w:ilvl="1" w:tplc="FF889904" w:tentative="1">
      <w:start w:val="1"/>
      <w:numFmt w:val="bullet"/>
      <w:lvlText w:val="•"/>
      <w:lvlJc w:val="left"/>
      <w:pPr>
        <w:tabs>
          <w:tab w:val="num" w:pos="1440"/>
        </w:tabs>
        <w:ind w:left="1440" w:hanging="360"/>
      </w:pPr>
      <w:rPr>
        <w:rFonts w:ascii="Arial" w:hAnsi="Arial" w:hint="default"/>
      </w:rPr>
    </w:lvl>
    <w:lvl w:ilvl="2" w:tplc="9BB01596" w:tentative="1">
      <w:start w:val="1"/>
      <w:numFmt w:val="bullet"/>
      <w:lvlText w:val="•"/>
      <w:lvlJc w:val="left"/>
      <w:pPr>
        <w:tabs>
          <w:tab w:val="num" w:pos="2160"/>
        </w:tabs>
        <w:ind w:left="2160" w:hanging="360"/>
      </w:pPr>
      <w:rPr>
        <w:rFonts w:ascii="Arial" w:hAnsi="Arial" w:hint="default"/>
      </w:rPr>
    </w:lvl>
    <w:lvl w:ilvl="3" w:tplc="8520B222" w:tentative="1">
      <w:start w:val="1"/>
      <w:numFmt w:val="bullet"/>
      <w:lvlText w:val="•"/>
      <w:lvlJc w:val="left"/>
      <w:pPr>
        <w:tabs>
          <w:tab w:val="num" w:pos="2880"/>
        </w:tabs>
        <w:ind w:left="2880" w:hanging="360"/>
      </w:pPr>
      <w:rPr>
        <w:rFonts w:ascii="Arial" w:hAnsi="Arial" w:hint="default"/>
      </w:rPr>
    </w:lvl>
    <w:lvl w:ilvl="4" w:tplc="491E78C8" w:tentative="1">
      <w:start w:val="1"/>
      <w:numFmt w:val="bullet"/>
      <w:lvlText w:val="•"/>
      <w:lvlJc w:val="left"/>
      <w:pPr>
        <w:tabs>
          <w:tab w:val="num" w:pos="3600"/>
        </w:tabs>
        <w:ind w:left="3600" w:hanging="360"/>
      </w:pPr>
      <w:rPr>
        <w:rFonts w:ascii="Arial" w:hAnsi="Arial" w:hint="default"/>
      </w:rPr>
    </w:lvl>
    <w:lvl w:ilvl="5" w:tplc="2A66060C" w:tentative="1">
      <w:start w:val="1"/>
      <w:numFmt w:val="bullet"/>
      <w:lvlText w:val="•"/>
      <w:lvlJc w:val="left"/>
      <w:pPr>
        <w:tabs>
          <w:tab w:val="num" w:pos="4320"/>
        </w:tabs>
        <w:ind w:left="4320" w:hanging="360"/>
      </w:pPr>
      <w:rPr>
        <w:rFonts w:ascii="Arial" w:hAnsi="Arial" w:hint="default"/>
      </w:rPr>
    </w:lvl>
    <w:lvl w:ilvl="6" w:tplc="546E5110" w:tentative="1">
      <w:start w:val="1"/>
      <w:numFmt w:val="bullet"/>
      <w:lvlText w:val="•"/>
      <w:lvlJc w:val="left"/>
      <w:pPr>
        <w:tabs>
          <w:tab w:val="num" w:pos="5040"/>
        </w:tabs>
        <w:ind w:left="5040" w:hanging="360"/>
      </w:pPr>
      <w:rPr>
        <w:rFonts w:ascii="Arial" w:hAnsi="Arial" w:hint="default"/>
      </w:rPr>
    </w:lvl>
    <w:lvl w:ilvl="7" w:tplc="57641BDE" w:tentative="1">
      <w:start w:val="1"/>
      <w:numFmt w:val="bullet"/>
      <w:lvlText w:val="•"/>
      <w:lvlJc w:val="left"/>
      <w:pPr>
        <w:tabs>
          <w:tab w:val="num" w:pos="5760"/>
        </w:tabs>
        <w:ind w:left="5760" w:hanging="360"/>
      </w:pPr>
      <w:rPr>
        <w:rFonts w:ascii="Arial" w:hAnsi="Arial" w:hint="default"/>
      </w:rPr>
    </w:lvl>
    <w:lvl w:ilvl="8" w:tplc="9E2A1EA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907"/>
    <w:rsid w:val="00010373"/>
    <w:rsid w:val="00014495"/>
    <w:rsid w:val="00022F9B"/>
    <w:rsid w:val="00026A82"/>
    <w:rsid w:val="00040733"/>
    <w:rsid w:val="00071575"/>
    <w:rsid w:val="00094A10"/>
    <w:rsid w:val="000A3429"/>
    <w:rsid w:val="000A4257"/>
    <w:rsid w:val="000A5B8F"/>
    <w:rsid w:val="000B4195"/>
    <w:rsid w:val="000D2EE3"/>
    <w:rsid w:val="000D2FB9"/>
    <w:rsid w:val="000F23BD"/>
    <w:rsid w:val="000F6386"/>
    <w:rsid w:val="00100882"/>
    <w:rsid w:val="00130FDF"/>
    <w:rsid w:val="00142B79"/>
    <w:rsid w:val="00153EFA"/>
    <w:rsid w:val="001B0020"/>
    <w:rsid w:val="001B5BA8"/>
    <w:rsid w:val="001C17C0"/>
    <w:rsid w:val="001C5058"/>
    <w:rsid w:val="001E04B1"/>
    <w:rsid w:val="001F4600"/>
    <w:rsid w:val="00201C4C"/>
    <w:rsid w:val="00247FA6"/>
    <w:rsid w:val="00251915"/>
    <w:rsid w:val="002775C8"/>
    <w:rsid w:val="00284D2D"/>
    <w:rsid w:val="00290905"/>
    <w:rsid w:val="0029120F"/>
    <w:rsid w:val="0029129F"/>
    <w:rsid w:val="002976E3"/>
    <w:rsid w:val="002A49F9"/>
    <w:rsid w:val="002E3250"/>
    <w:rsid w:val="002E536E"/>
    <w:rsid w:val="00302B1B"/>
    <w:rsid w:val="00305D1F"/>
    <w:rsid w:val="00311502"/>
    <w:rsid w:val="0032239C"/>
    <w:rsid w:val="003244A3"/>
    <w:rsid w:val="00331635"/>
    <w:rsid w:val="00333891"/>
    <w:rsid w:val="00340229"/>
    <w:rsid w:val="0035347A"/>
    <w:rsid w:val="00354824"/>
    <w:rsid w:val="00373034"/>
    <w:rsid w:val="003847B7"/>
    <w:rsid w:val="0039031A"/>
    <w:rsid w:val="00392231"/>
    <w:rsid w:val="003945ED"/>
    <w:rsid w:val="003A2D65"/>
    <w:rsid w:val="003C4E1E"/>
    <w:rsid w:val="003F7EFE"/>
    <w:rsid w:val="00402F59"/>
    <w:rsid w:val="004051C8"/>
    <w:rsid w:val="00415BCA"/>
    <w:rsid w:val="00417015"/>
    <w:rsid w:val="0042558B"/>
    <w:rsid w:val="00425C9C"/>
    <w:rsid w:val="00433DE4"/>
    <w:rsid w:val="00444BD2"/>
    <w:rsid w:val="004513D8"/>
    <w:rsid w:val="0046034A"/>
    <w:rsid w:val="00473B20"/>
    <w:rsid w:val="00482AA0"/>
    <w:rsid w:val="00485141"/>
    <w:rsid w:val="00496C2A"/>
    <w:rsid w:val="00497209"/>
    <w:rsid w:val="004A5555"/>
    <w:rsid w:val="004C5468"/>
    <w:rsid w:val="004D5A08"/>
    <w:rsid w:val="005205AF"/>
    <w:rsid w:val="0052443C"/>
    <w:rsid w:val="00524DC6"/>
    <w:rsid w:val="00541B37"/>
    <w:rsid w:val="005472D9"/>
    <w:rsid w:val="00551941"/>
    <w:rsid w:val="00552C7C"/>
    <w:rsid w:val="00555CF1"/>
    <w:rsid w:val="00563522"/>
    <w:rsid w:val="0057079C"/>
    <w:rsid w:val="00574EDB"/>
    <w:rsid w:val="00581340"/>
    <w:rsid w:val="00582374"/>
    <w:rsid w:val="00595FBF"/>
    <w:rsid w:val="005A1312"/>
    <w:rsid w:val="005C7E93"/>
    <w:rsid w:val="005E54A8"/>
    <w:rsid w:val="005F1085"/>
    <w:rsid w:val="005F1674"/>
    <w:rsid w:val="005F3BCC"/>
    <w:rsid w:val="006023AE"/>
    <w:rsid w:val="006175E2"/>
    <w:rsid w:val="00621DF2"/>
    <w:rsid w:val="0062761B"/>
    <w:rsid w:val="00637A96"/>
    <w:rsid w:val="00643681"/>
    <w:rsid w:val="0065677D"/>
    <w:rsid w:val="00663322"/>
    <w:rsid w:val="00675072"/>
    <w:rsid w:val="0068015E"/>
    <w:rsid w:val="006971EE"/>
    <w:rsid w:val="006C5F95"/>
    <w:rsid w:val="006E6830"/>
    <w:rsid w:val="006F77B6"/>
    <w:rsid w:val="007120FC"/>
    <w:rsid w:val="00713946"/>
    <w:rsid w:val="00722236"/>
    <w:rsid w:val="007264A5"/>
    <w:rsid w:val="00734E7B"/>
    <w:rsid w:val="0074310B"/>
    <w:rsid w:val="007444F1"/>
    <w:rsid w:val="007517B6"/>
    <w:rsid w:val="00752CAA"/>
    <w:rsid w:val="00764961"/>
    <w:rsid w:val="007739F6"/>
    <w:rsid w:val="0078309B"/>
    <w:rsid w:val="007858E9"/>
    <w:rsid w:val="007973E4"/>
    <w:rsid w:val="007A0C93"/>
    <w:rsid w:val="007E66C9"/>
    <w:rsid w:val="00805B8C"/>
    <w:rsid w:val="00810E64"/>
    <w:rsid w:val="008225B6"/>
    <w:rsid w:val="00895744"/>
    <w:rsid w:val="008A0D25"/>
    <w:rsid w:val="008A125E"/>
    <w:rsid w:val="008B7AC7"/>
    <w:rsid w:val="008C485E"/>
    <w:rsid w:val="008C58B9"/>
    <w:rsid w:val="008D6479"/>
    <w:rsid w:val="008E3CC3"/>
    <w:rsid w:val="008E5AC6"/>
    <w:rsid w:val="008E689D"/>
    <w:rsid w:val="008E7DF7"/>
    <w:rsid w:val="00901522"/>
    <w:rsid w:val="00904041"/>
    <w:rsid w:val="00904907"/>
    <w:rsid w:val="00906A50"/>
    <w:rsid w:val="00961F55"/>
    <w:rsid w:val="009739D0"/>
    <w:rsid w:val="00976157"/>
    <w:rsid w:val="00985E9B"/>
    <w:rsid w:val="009A64FF"/>
    <w:rsid w:val="009A7FE4"/>
    <w:rsid w:val="009B4FF0"/>
    <w:rsid w:val="009B73AC"/>
    <w:rsid w:val="009C3558"/>
    <w:rsid w:val="009D7467"/>
    <w:rsid w:val="00A10DCF"/>
    <w:rsid w:val="00A262A8"/>
    <w:rsid w:val="00A26C17"/>
    <w:rsid w:val="00A31A92"/>
    <w:rsid w:val="00A379D7"/>
    <w:rsid w:val="00A44219"/>
    <w:rsid w:val="00A55566"/>
    <w:rsid w:val="00A7032E"/>
    <w:rsid w:val="00A80555"/>
    <w:rsid w:val="00A85EA7"/>
    <w:rsid w:val="00AA2AE5"/>
    <w:rsid w:val="00AB6339"/>
    <w:rsid w:val="00AB7300"/>
    <w:rsid w:val="00AC13B9"/>
    <w:rsid w:val="00AE6265"/>
    <w:rsid w:val="00B020F8"/>
    <w:rsid w:val="00B1527C"/>
    <w:rsid w:val="00B45ADC"/>
    <w:rsid w:val="00B57D97"/>
    <w:rsid w:val="00B62084"/>
    <w:rsid w:val="00B63F52"/>
    <w:rsid w:val="00B70999"/>
    <w:rsid w:val="00B7657E"/>
    <w:rsid w:val="00B77B39"/>
    <w:rsid w:val="00B810B3"/>
    <w:rsid w:val="00BA0DDB"/>
    <w:rsid w:val="00BA1FFF"/>
    <w:rsid w:val="00BE1D10"/>
    <w:rsid w:val="00C32D5B"/>
    <w:rsid w:val="00C465F0"/>
    <w:rsid w:val="00C50153"/>
    <w:rsid w:val="00C56B7C"/>
    <w:rsid w:val="00C61EF8"/>
    <w:rsid w:val="00C65CF1"/>
    <w:rsid w:val="00C94F4A"/>
    <w:rsid w:val="00CA47BD"/>
    <w:rsid w:val="00CA7A03"/>
    <w:rsid w:val="00CB2D4D"/>
    <w:rsid w:val="00CB7B57"/>
    <w:rsid w:val="00CE4269"/>
    <w:rsid w:val="00D20BC4"/>
    <w:rsid w:val="00D3312E"/>
    <w:rsid w:val="00D40178"/>
    <w:rsid w:val="00D50A98"/>
    <w:rsid w:val="00D60DFC"/>
    <w:rsid w:val="00D62897"/>
    <w:rsid w:val="00D72513"/>
    <w:rsid w:val="00D87D35"/>
    <w:rsid w:val="00D96BE1"/>
    <w:rsid w:val="00DA747F"/>
    <w:rsid w:val="00E00F12"/>
    <w:rsid w:val="00E01EE7"/>
    <w:rsid w:val="00E028A9"/>
    <w:rsid w:val="00E13A98"/>
    <w:rsid w:val="00E14BAF"/>
    <w:rsid w:val="00E16BA1"/>
    <w:rsid w:val="00E22404"/>
    <w:rsid w:val="00E22D95"/>
    <w:rsid w:val="00E264A8"/>
    <w:rsid w:val="00E640BF"/>
    <w:rsid w:val="00E80C8D"/>
    <w:rsid w:val="00E90D21"/>
    <w:rsid w:val="00EA58A9"/>
    <w:rsid w:val="00EB3EF7"/>
    <w:rsid w:val="00EC6FB0"/>
    <w:rsid w:val="00ED5F90"/>
    <w:rsid w:val="00EE6774"/>
    <w:rsid w:val="00EF6E7C"/>
    <w:rsid w:val="00F04393"/>
    <w:rsid w:val="00F16455"/>
    <w:rsid w:val="00F23077"/>
    <w:rsid w:val="00F443B4"/>
    <w:rsid w:val="00F53766"/>
    <w:rsid w:val="00F637AD"/>
    <w:rsid w:val="00FA7FFA"/>
    <w:rsid w:val="00FB2F8F"/>
    <w:rsid w:val="00FD6A0B"/>
    <w:rsid w:val="00FE083D"/>
    <w:rsid w:val="00FF6B73"/>
    <w:rsid w:val="166E9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D2A82"/>
  <w14:defaultImageDpi w14:val="32767"/>
  <w15:docId w15:val="{8F95D22E-5FD3-4367-A03D-12E17DBA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sukushi A Round Gothic Bold" w:hAnsi="Times New Roman" w:cstheme="majorHAns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Pr>
      <w:rFonts w:cs="Times New Roman"/>
      <w:sz w:val="18"/>
      <w:szCs w:val="18"/>
    </w:r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link w:val="NormalWebChar"/>
    <w:uiPriority w:val="99"/>
    <w:unhideWhenUsed/>
    <w:qFormat/>
    <w:pPr>
      <w:spacing w:before="100" w:beforeAutospacing="1" w:after="100" w:afterAutospacing="1"/>
    </w:pPr>
    <w:rPr>
      <w:rFonts w:eastAsia="Times New Roman" w:cs="Times New Roman"/>
      <w:lang w:eastAsia="en-US"/>
    </w:r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cs="Times New Roman"/>
      <w:sz w:val="18"/>
      <w:szCs w:val="18"/>
    </w:rPr>
  </w:style>
  <w:style w:type="character" w:customStyle="1" w:styleId="NormalWebChar">
    <w:name w:val="Normal (Web) Char"/>
    <w:basedOn w:val="DefaultParagraphFont"/>
    <w:link w:val="NormalWeb"/>
    <w:uiPriority w:val="99"/>
    <w:qFormat/>
    <w:rPr>
      <w:rFonts w:eastAsia="Times New Roman" w:cs="Times New Roman"/>
      <w:lang w:eastAsia="en-US"/>
    </w:rPr>
  </w:style>
  <w:style w:type="paragraph" w:customStyle="1" w:styleId="IWAAuthoraddress">
    <w:name w:val="(IWA) Author address"/>
    <w:basedOn w:val="Normal"/>
    <w:next w:val="Normal"/>
    <w:uiPriority w:val="99"/>
    <w:qFormat/>
    <w:pPr>
      <w:suppressLineNumbers/>
      <w:suppressAutoHyphens/>
      <w:overflowPunct w:val="0"/>
      <w:autoSpaceDE w:val="0"/>
      <w:autoSpaceDN w:val="0"/>
      <w:adjustRightInd w:val="0"/>
      <w:spacing w:line="220" w:lineRule="atLeast"/>
      <w:jc w:val="center"/>
    </w:pPr>
    <w:rPr>
      <w:rFonts w:ascii="Arial" w:eastAsia="MS Mincho" w:hAnsi="Arial" w:cs="Arial"/>
      <w:sz w:val="18"/>
      <w:szCs w:val="18"/>
      <w:lang w:val="en-GB" w:eastAsia="en-US"/>
    </w:rPr>
  </w:style>
  <w:style w:type="paragraph" w:customStyle="1" w:styleId="1">
    <w:name w:val="修订1"/>
    <w:hidden/>
    <w:uiPriority w:val="99"/>
    <w:semiHidden/>
    <w:qFormat/>
    <w:rPr>
      <w:sz w:val="24"/>
      <w:szCs w:val="24"/>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EndNoteBibliography">
    <w:name w:val="EndNote Bibliography"/>
    <w:basedOn w:val="Normal"/>
    <w:qFormat/>
    <w:pPr>
      <w:jc w:val="both"/>
    </w:pPr>
    <w:rPr>
      <w:rFonts w:cs="Times New Roman"/>
      <w:iCs/>
    </w:rPr>
  </w:style>
  <w:style w:type="paragraph" w:styleId="Revision">
    <w:name w:val="Revision"/>
    <w:hidden/>
    <w:uiPriority w:val="99"/>
    <w:semiHidden/>
    <w:rsid w:val="00333891"/>
    <w:rPr>
      <w:sz w:val="24"/>
      <w:szCs w:val="24"/>
    </w:rPr>
  </w:style>
  <w:style w:type="paragraph" w:styleId="ListParagraph">
    <w:name w:val="List Paragraph"/>
    <w:basedOn w:val="Normal"/>
    <w:uiPriority w:val="34"/>
    <w:qFormat/>
    <w:rsid w:val="000F23BD"/>
    <w:pPr>
      <w:ind w:firstLineChars="200" w:firstLine="420"/>
    </w:pPr>
    <w:rPr>
      <w:rFonts w:ascii="SimSun" w:eastAsia="SimSun" w:hAnsi="SimSun" w:cs="SimSun"/>
    </w:rPr>
  </w:style>
  <w:style w:type="paragraph" w:styleId="HTMLPreformatted">
    <w:name w:val="HTML Preformatted"/>
    <w:basedOn w:val="Normal"/>
    <w:link w:val="HTMLPreformattedChar"/>
    <w:uiPriority w:val="99"/>
    <w:semiHidden/>
    <w:unhideWhenUsed/>
    <w:rsid w:val="001008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character" w:customStyle="1" w:styleId="HTMLPreformattedChar">
    <w:name w:val="HTML Preformatted Char"/>
    <w:basedOn w:val="DefaultParagraphFont"/>
    <w:link w:val="HTMLPreformatted"/>
    <w:uiPriority w:val="99"/>
    <w:semiHidden/>
    <w:rsid w:val="00100882"/>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099461">
      <w:bodyDiv w:val="1"/>
      <w:marLeft w:val="0"/>
      <w:marRight w:val="0"/>
      <w:marTop w:val="0"/>
      <w:marBottom w:val="0"/>
      <w:divBdr>
        <w:top w:val="none" w:sz="0" w:space="0" w:color="auto"/>
        <w:left w:val="none" w:sz="0" w:space="0" w:color="auto"/>
        <w:bottom w:val="none" w:sz="0" w:space="0" w:color="auto"/>
        <w:right w:val="none" w:sz="0" w:space="0" w:color="auto"/>
      </w:divBdr>
      <w:divsChild>
        <w:div w:id="216013263">
          <w:marLeft w:val="446"/>
          <w:marRight w:val="0"/>
          <w:marTop w:val="0"/>
          <w:marBottom w:val="0"/>
          <w:divBdr>
            <w:top w:val="none" w:sz="0" w:space="0" w:color="auto"/>
            <w:left w:val="none" w:sz="0" w:space="0" w:color="auto"/>
            <w:bottom w:val="none" w:sz="0" w:space="0" w:color="auto"/>
            <w:right w:val="none" w:sz="0" w:space="0" w:color="auto"/>
          </w:divBdr>
        </w:div>
      </w:divsChild>
    </w:div>
    <w:div w:id="2126459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eorge.wells@northwestern.edu"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cbi.nlm.nih.gov/pubmed/?term=Esquivel%20RN%5BAuthor%5D&amp;cauthor=true&amp;cauthor_uid=25852657"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3" Type="http://schemas.openxmlformats.org/officeDocument/2006/relationships/oleObject" Target="file:////C:\Yubo\NU_work\Gaohan\scripts_from_Gaohan\Figures\ppk1_DNA_RNA_RPKM%2520(version%25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544334311913"/>
          <c:y val="5.1400660677027803E-2"/>
          <c:w val="0.85021604251140304"/>
          <c:h val="0.75021737567289803"/>
        </c:manualLayout>
      </c:layout>
      <c:barChart>
        <c:barDir val="col"/>
        <c:grouping val="clustered"/>
        <c:varyColors val="0"/>
        <c:ser>
          <c:idx val="0"/>
          <c:order val="0"/>
          <c:tx>
            <c:strRef>
              <c:f>ppk1_clades_propportion_DNA!$S$1</c:f>
              <c:strCache>
                <c:ptCount val="1"/>
                <c:pt idx="0">
                  <c:v>Size &lt;350µm</c:v>
                </c:pt>
              </c:strCache>
            </c:strRef>
          </c:tx>
          <c:spPr>
            <a:solidFill>
              <a:schemeClr val="accent3">
                <a:lumMod val="20000"/>
                <a:lumOff val="80000"/>
                <a:alpha val="69804"/>
              </a:schemeClr>
            </a:solidFill>
            <a:ln w="9525">
              <a:solidFill>
                <a:schemeClr val="accent1"/>
              </a:solidFill>
            </a:ln>
            <a:effectLst/>
          </c:spPr>
          <c:invertIfNegative val="0"/>
          <c:cat>
            <c:strRef>
              <c:f>ppk1_clades_propportion_DNA!$R$2:$R$6</c:f>
              <c:strCache>
                <c:ptCount val="5"/>
                <c:pt idx="0">
                  <c:v>IA</c:v>
                </c:pt>
                <c:pt idx="1">
                  <c:v>IB</c:v>
                </c:pt>
                <c:pt idx="2">
                  <c:v>IC</c:v>
                </c:pt>
                <c:pt idx="3">
                  <c:v>ID</c:v>
                </c:pt>
                <c:pt idx="4">
                  <c:v>IF</c:v>
                </c:pt>
              </c:strCache>
            </c:strRef>
          </c:cat>
          <c:val>
            <c:numRef>
              <c:f>ppk1_clades_propportion_DNA!$S$2:$S$6</c:f>
              <c:numCache>
                <c:formatCode>General</c:formatCode>
                <c:ptCount val="5"/>
                <c:pt idx="0">
                  <c:v>17.5</c:v>
                </c:pt>
                <c:pt idx="1">
                  <c:v>8.4</c:v>
                </c:pt>
                <c:pt idx="2">
                  <c:v>36.1</c:v>
                </c:pt>
                <c:pt idx="3">
                  <c:v>7.4</c:v>
                </c:pt>
                <c:pt idx="4">
                  <c:v>30.6</c:v>
                </c:pt>
              </c:numCache>
            </c:numRef>
          </c:val>
          <c:extLst>
            <c:ext xmlns:c16="http://schemas.microsoft.com/office/drawing/2014/chart" uri="{C3380CC4-5D6E-409C-BE32-E72D297353CC}">
              <c16:uniqueId val="{00000000-7FFD-754C-B418-4A1CF8D8049F}"/>
            </c:ext>
          </c:extLst>
        </c:ser>
        <c:ser>
          <c:idx val="1"/>
          <c:order val="1"/>
          <c:tx>
            <c:strRef>
              <c:f>ppk1_clades_propportion_DNA!$T$1</c:f>
              <c:strCache>
                <c:ptCount val="1"/>
                <c:pt idx="0">
                  <c:v>Size&gt;=350µm</c:v>
                </c:pt>
              </c:strCache>
            </c:strRef>
          </c:tx>
          <c:spPr>
            <a:solidFill>
              <a:schemeClr val="accent6">
                <a:lumMod val="20000"/>
                <a:lumOff val="80000"/>
                <a:alpha val="70000"/>
              </a:schemeClr>
            </a:solidFill>
            <a:ln w="9525">
              <a:solidFill>
                <a:schemeClr val="accent2"/>
              </a:solidFill>
            </a:ln>
            <a:effectLst/>
          </c:spPr>
          <c:invertIfNegative val="0"/>
          <c:cat>
            <c:strRef>
              <c:f>ppk1_clades_propportion_DNA!$R$2:$R$6</c:f>
              <c:strCache>
                <c:ptCount val="5"/>
                <c:pt idx="0">
                  <c:v>IA</c:v>
                </c:pt>
                <c:pt idx="1">
                  <c:v>IB</c:v>
                </c:pt>
                <c:pt idx="2">
                  <c:v>IC</c:v>
                </c:pt>
                <c:pt idx="3">
                  <c:v>ID</c:v>
                </c:pt>
                <c:pt idx="4">
                  <c:v>IF</c:v>
                </c:pt>
              </c:strCache>
            </c:strRef>
          </c:cat>
          <c:val>
            <c:numRef>
              <c:f>ppk1_clades_propportion_DNA!$T$2:$T$6</c:f>
              <c:numCache>
                <c:formatCode>General</c:formatCode>
                <c:ptCount val="5"/>
                <c:pt idx="0">
                  <c:v>37.700000000000003</c:v>
                </c:pt>
                <c:pt idx="1">
                  <c:v>5.7</c:v>
                </c:pt>
                <c:pt idx="2">
                  <c:v>25.6</c:v>
                </c:pt>
                <c:pt idx="3">
                  <c:v>13.9</c:v>
                </c:pt>
                <c:pt idx="4">
                  <c:v>17.100000000000001</c:v>
                </c:pt>
              </c:numCache>
            </c:numRef>
          </c:val>
          <c:extLst>
            <c:ext xmlns:c16="http://schemas.microsoft.com/office/drawing/2014/chart" uri="{C3380CC4-5D6E-409C-BE32-E72D297353CC}">
              <c16:uniqueId val="{00000001-7FFD-754C-B418-4A1CF8D8049F}"/>
            </c:ext>
          </c:extLst>
        </c:ser>
        <c:dLbls>
          <c:showLegendKey val="0"/>
          <c:showVal val="0"/>
          <c:showCatName val="0"/>
          <c:showSerName val="0"/>
          <c:showPercent val="0"/>
          <c:showBubbleSize val="0"/>
        </c:dLbls>
        <c:gapWidth val="150"/>
        <c:axId val="630387312"/>
        <c:axId val="630384360"/>
      </c:barChart>
      <c:catAx>
        <c:axId val="630387312"/>
        <c:scaling>
          <c:orientation val="minMax"/>
        </c:scaling>
        <c:delete val="0"/>
        <c:axPos val="b"/>
        <c:title>
          <c:tx>
            <c:rich>
              <a:bodyPr rot="0" spcFirstLastPara="1" vertOverflow="ellipsis" vert="horz" wrap="square" anchor="ctr" anchorCtr="1"/>
              <a:lstStyle/>
              <a:p>
                <a:pPr>
                  <a:defRPr lang="en-US" sz="1100" b="0" i="0" u="none" strike="noStrike" kern="1200" baseline="0">
                    <a:solidFill>
                      <a:schemeClr val="tx1">
                        <a:lumMod val="50000"/>
                        <a:lumOff val="50000"/>
                      </a:schemeClr>
                    </a:solidFill>
                    <a:latin typeface="Times New Roman" panose="02020503050405090304" charset="0"/>
                    <a:ea typeface="+mn-ea"/>
                    <a:cs typeface="Times New Roman" panose="02020503050405090304" charset="0"/>
                  </a:defRPr>
                </a:pPr>
                <a:r>
                  <a:rPr lang="en-US" sz="1100" i="1">
                    <a:latin typeface="Times New Roman" panose="02020503050405090304" charset="0"/>
                    <a:cs typeface="Times New Roman" panose="02020503050405090304" charset="0"/>
                  </a:rPr>
                  <a:t>ppk1</a:t>
                </a:r>
                <a:r>
                  <a:rPr lang="en-US" sz="1100" i="1" baseline="0">
                    <a:latin typeface="Times New Roman" panose="02020503050405090304" charset="0"/>
                    <a:cs typeface="Times New Roman" panose="02020503050405090304" charset="0"/>
                  </a:rPr>
                  <a:t> </a:t>
                </a:r>
                <a:r>
                  <a:rPr lang="en-US" sz="1100" baseline="0">
                    <a:latin typeface="Times New Roman" panose="02020503050405090304" charset="0"/>
                    <a:cs typeface="Times New Roman" panose="02020503050405090304" charset="0"/>
                  </a:rPr>
                  <a:t>gene clades identified in this DPAO consortia</a:t>
                </a:r>
                <a:endParaRPr lang="en-US" sz="1100">
                  <a:latin typeface="Times New Roman" panose="02020503050405090304" charset="0"/>
                  <a:cs typeface="Times New Roman" panose="02020503050405090304" charset="0"/>
                </a:endParaRPr>
              </a:p>
            </c:rich>
          </c:tx>
          <c:layout>
            <c:manualLayout>
              <c:xMode val="edge"/>
              <c:yMode val="edge"/>
              <c:x val="0.302560608411022"/>
              <c:y val="0.90541333402619595"/>
            </c:manualLayout>
          </c:layout>
          <c:overlay val="0"/>
          <c:spPr>
            <a:noFill/>
            <a:ln>
              <a:noFill/>
            </a:ln>
            <a:effectLst/>
          </c:spPr>
          <c:txPr>
            <a:bodyPr rot="0" spcFirstLastPara="1" vertOverflow="ellipsis" vert="horz" wrap="square" anchor="ctr" anchorCtr="1"/>
            <a:lstStyle/>
            <a:p>
              <a:pPr>
                <a:defRPr lang="en-US" sz="1100" b="0" i="0" u="none" strike="noStrike" kern="1200" baseline="0">
                  <a:solidFill>
                    <a:schemeClr val="tx1">
                      <a:lumMod val="50000"/>
                      <a:lumOff val="50000"/>
                    </a:schemeClr>
                  </a:solidFill>
                  <a:latin typeface="Times New Roman" panose="02020503050405090304" charset="0"/>
                  <a:ea typeface="+mn-ea"/>
                  <a:cs typeface="Times New Roman" panose="02020503050405090304" charset="0"/>
                </a:defRPr>
              </a:pPr>
              <a:endParaRPr lang="en-US"/>
            </a:p>
          </c:txPr>
        </c:title>
        <c:numFmt formatCode="General" sourceLinked="1"/>
        <c:majorTickMark val="none"/>
        <c:minorTickMark val="none"/>
        <c:tickLblPos val="nextTo"/>
        <c:spPr>
          <a:noFill/>
          <a:ln w="9525">
            <a:solidFill>
              <a:schemeClr val="tx1">
                <a:lumMod val="50000"/>
                <a:lumOff val="50000"/>
              </a:schemeClr>
            </a:solidFill>
          </a:ln>
          <a:effectLst/>
        </c:spPr>
        <c:txPr>
          <a:bodyPr rot="-60000000" spcFirstLastPara="1" vertOverflow="ellipsis" vert="horz" wrap="square" anchor="ctr" anchorCtr="1"/>
          <a:lstStyle/>
          <a:p>
            <a:pPr>
              <a:defRPr lang="en-US" sz="1000" b="1" i="0" u="none" strike="noStrike" kern="1200" baseline="0">
                <a:solidFill>
                  <a:schemeClr val="tx1">
                    <a:lumMod val="50000"/>
                    <a:lumOff val="50000"/>
                  </a:schemeClr>
                </a:solidFill>
                <a:latin typeface="+mn-lt"/>
                <a:ea typeface="+mn-ea"/>
                <a:cs typeface="+mn-cs"/>
              </a:defRPr>
            </a:pPr>
            <a:endParaRPr lang="en-US"/>
          </a:p>
        </c:txPr>
        <c:crossAx val="630384360"/>
        <c:crosses val="autoZero"/>
        <c:auto val="1"/>
        <c:lblAlgn val="ctr"/>
        <c:lblOffset val="100"/>
        <c:noMultiLvlLbl val="0"/>
      </c:catAx>
      <c:valAx>
        <c:axId val="630384360"/>
        <c:scaling>
          <c:orientation val="minMax"/>
        </c:scaling>
        <c:delete val="0"/>
        <c:axPos val="l"/>
        <c:title>
          <c:tx>
            <c:rich>
              <a:bodyPr rot="-5400000" spcFirstLastPara="1" vertOverflow="ellipsis" vert="horz" wrap="square" anchor="ctr" anchorCtr="1"/>
              <a:lstStyle/>
              <a:p>
                <a:pPr>
                  <a:defRPr lang="en-US" sz="1100" b="0" i="0" u="none" strike="noStrike" kern="1200" baseline="0">
                    <a:solidFill>
                      <a:schemeClr val="tx1">
                        <a:lumMod val="50000"/>
                        <a:lumOff val="50000"/>
                      </a:schemeClr>
                    </a:solidFill>
                    <a:latin typeface="Times New Roman" panose="02020503050405090304" charset="0"/>
                    <a:ea typeface="+mn-ea"/>
                    <a:cs typeface="Times New Roman" panose="02020503050405090304" charset="0"/>
                  </a:defRPr>
                </a:pPr>
                <a:r>
                  <a:rPr lang="en-US" sz="1100">
                    <a:latin typeface="Times New Roman" panose="02020503050405090304" charset="0"/>
                    <a:cs typeface="Times New Roman" panose="02020503050405090304" charset="0"/>
                  </a:rPr>
                  <a:t>Ratio</a:t>
                </a:r>
                <a:r>
                  <a:rPr lang="en-US" sz="1100" baseline="0">
                    <a:latin typeface="Times New Roman" panose="02020503050405090304" charset="0"/>
                    <a:cs typeface="Times New Roman" panose="02020503050405090304" charset="0"/>
                  </a:rPr>
                  <a:t> of each clade </a:t>
                </a:r>
                <a:r>
                  <a:rPr lang="en-US" sz="1100">
                    <a:latin typeface="Times New Roman" panose="02020503050405090304" charset="0"/>
                    <a:cs typeface="Times New Roman" panose="02020503050405090304" charset="0"/>
                  </a:rPr>
                  <a:t>in sludge particulates</a:t>
                </a:r>
                <a:r>
                  <a:rPr lang="en-US" sz="1100" baseline="0">
                    <a:latin typeface="Times New Roman" panose="02020503050405090304" charset="0"/>
                    <a:cs typeface="Times New Roman" panose="02020503050405090304" charset="0"/>
                  </a:rPr>
                  <a:t> </a:t>
                </a:r>
                <a:r>
                  <a:rPr lang="en-US" sz="1100">
                    <a:latin typeface="Times New Roman" panose="02020503050405090304" charset="0"/>
                    <a:cs typeface="Times New Roman" panose="02020503050405090304" charset="0"/>
                  </a:rPr>
                  <a:t>(%)</a:t>
                </a:r>
              </a:p>
            </c:rich>
          </c:tx>
          <c:layout>
            <c:manualLayout>
              <c:xMode val="edge"/>
              <c:yMode val="edge"/>
              <c:x val="7.72562253247756E-3"/>
              <c:y val="5.5237678013527997E-2"/>
            </c:manualLayout>
          </c:layout>
          <c:overlay val="0"/>
          <c:spPr>
            <a:noFill/>
            <a:ln>
              <a:noFill/>
            </a:ln>
            <a:effectLst/>
          </c:spPr>
          <c:txPr>
            <a:bodyPr rot="-5400000" spcFirstLastPara="1" vertOverflow="ellipsis" vert="horz" wrap="square" anchor="ctr" anchorCtr="1"/>
            <a:lstStyle/>
            <a:p>
              <a:pPr>
                <a:defRPr lang="en-US" sz="1100" b="0" i="0" u="none" strike="noStrike" kern="1200" baseline="0">
                  <a:solidFill>
                    <a:schemeClr val="tx1">
                      <a:lumMod val="50000"/>
                      <a:lumOff val="50000"/>
                    </a:schemeClr>
                  </a:solidFill>
                  <a:latin typeface="Times New Roman" panose="02020503050405090304" charset="0"/>
                  <a:ea typeface="+mn-ea"/>
                  <a:cs typeface="Times New Roman" panose="02020503050405090304" charset="0"/>
                </a:defRPr>
              </a:pPr>
              <a:endParaRPr lang="en-US"/>
            </a:p>
          </c:txPr>
        </c:title>
        <c:numFmt formatCode="General" sourceLinked="1"/>
        <c:majorTickMark val="in"/>
        <c:minorTickMark val="none"/>
        <c:tickLblPos val="nextTo"/>
        <c:spPr>
          <a:noFill/>
          <a:ln w="9525">
            <a:solidFill>
              <a:schemeClr val="tx1">
                <a:lumMod val="50000"/>
                <a:lumOff val="50000"/>
              </a:schemeClr>
            </a:solidFill>
          </a:ln>
          <a:effectLst/>
        </c:spPr>
        <c:txPr>
          <a:bodyPr rot="-60000000" spcFirstLastPara="1" vertOverflow="ellipsis" vert="horz" wrap="square" anchor="ctr" anchorCtr="1"/>
          <a:lstStyle/>
          <a:p>
            <a:pPr>
              <a:defRPr lang="en-US" sz="1000" b="1" i="0" u="none" strike="noStrike" kern="1200" baseline="0">
                <a:solidFill>
                  <a:schemeClr val="tx1">
                    <a:lumMod val="50000"/>
                    <a:lumOff val="50000"/>
                  </a:schemeClr>
                </a:solidFill>
                <a:latin typeface="+mn-lt"/>
                <a:ea typeface="+mn-ea"/>
                <a:cs typeface="+mn-cs"/>
              </a:defRPr>
            </a:pPr>
            <a:endParaRPr lang="en-US"/>
          </a:p>
        </c:txPr>
        <c:crossAx val="630387312"/>
        <c:crosses val="autoZero"/>
        <c:crossBetween val="between"/>
        <c:majorUnit val="10"/>
      </c:valAx>
      <c:spPr>
        <a:noFill/>
        <a:ln>
          <a:noFill/>
        </a:ln>
        <a:effectLst/>
      </c:spPr>
    </c:plotArea>
    <c:legend>
      <c:legendPos val="b"/>
      <c:layout>
        <c:manualLayout>
          <c:xMode val="edge"/>
          <c:yMode val="edge"/>
          <c:x val="0.36946969141327601"/>
          <c:y val="2.13025138235218E-3"/>
          <c:w val="0.32114133535496597"/>
          <c:h val="0.106954873474971"/>
        </c:manualLayout>
      </c:layout>
      <c:overlay val="0"/>
      <c:spPr>
        <a:noFill/>
        <a:ln>
          <a:noFill/>
        </a:ln>
        <a:effectLst/>
      </c:spPr>
      <c:txPr>
        <a:bodyPr rot="0" spcFirstLastPara="1" vertOverflow="ellipsis" vert="horz" wrap="square" anchor="ctr" anchorCtr="1"/>
        <a:lstStyle/>
        <a:p>
          <a:pPr>
            <a:defRPr lang="en-US" sz="900" b="1" i="0" u="none" strike="noStrike" kern="1200" baseline="0">
              <a:solidFill>
                <a:schemeClr val="tx1">
                  <a:lumMod val="50000"/>
                  <a:lumOff val="50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no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spPr>
      <a:ln w="9525">
        <a:solidFill>
          <a:schemeClr val="tx1">
            <a:lumMod val="5000"/>
            <a:lumOff val="95000"/>
          </a:schemeClr>
        </a:solidFill>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35000"/>
        </a:schemeClr>
      </a:solidFill>
      <a:ln w="9525">
        <a:solidFill>
          <a:schemeClr val="phClr"/>
        </a:solidFill>
      </a:ln>
    </cs:spPr>
  </cs:dataPoint>
  <cs:dataPoint3D>
    <cs:lnRef idx="0">
      <cs:styleClr val="auto"/>
    </cs:lnRef>
    <cs:fillRef idx="0">
      <cs:styleClr val="auto"/>
    </cs:fillRef>
    <cs:effectRef idx="0"/>
    <cs:fontRef idx="minor">
      <a:schemeClr val="tx1"/>
    </cs:fontRef>
    <cs:spPr>
      <a:solidFill>
        <a:schemeClr val="phClr">
          <a:alpha val="35000"/>
        </a:schemeClr>
      </a:solidFill>
      <a:ln w="9525">
        <a:solidFill>
          <a:schemeClr val="phClr"/>
        </a:solidFill>
      </a:ln>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spPr>
      <a:ln w="9525" cap="flat" cmpd="sng" algn="ctr">
        <a:solidFill>
          <a:schemeClr val="tx1">
            <a:lumMod val="5000"/>
            <a:lumOff val="9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spPr>
      <a:ln w="9525">
        <a:solidFill>
          <a:schemeClr val="tx1">
            <a:lumMod val="5000"/>
            <a:lumOff val="95000"/>
          </a:schemeClr>
        </a:solidFill>
      </a:ln>
    </cs:spPr>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 Gao</dc:creator>
  <cp:lastModifiedBy>George Wells</cp:lastModifiedBy>
  <cp:revision>2</cp:revision>
  <cp:lastPrinted>2018-10-30T23:44:00Z</cp:lastPrinted>
  <dcterms:created xsi:type="dcterms:W3CDTF">2020-10-20T16:08:00Z</dcterms:created>
  <dcterms:modified xsi:type="dcterms:W3CDTF">2020-10-20T16:08:00Z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1033-2.6.1.4274</vt:lpwstr>
  </property>
</Properties>
</file>