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B4A7" w14:textId="77777777" w:rsidR="00D0443B" w:rsidRDefault="00AC45AF">
      <w:pPr>
        <w:pStyle w:val="Heading1"/>
      </w:pPr>
      <w:r>
        <w:t>Supply Chain Action Plan</w:t>
      </w:r>
    </w:p>
    <w:p w14:paraId="663837EB" w14:textId="77777777" w:rsidR="00D0443B" w:rsidRDefault="00AC45AF">
      <w:r>
        <w:t>This action plan was generated using a Copilot-assisted workflow based on the Teams meeting summary.</w:t>
      </w:r>
    </w:p>
    <w:p w14:paraId="15C616A1" w14:textId="77777777" w:rsidR="00D0443B" w:rsidRDefault="00AC45AF">
      <w:pPr>
        <w:pStyle w:val="Heading2"/>
      </w:pPr>
      <w:r>
        <w:t>General Strategies</w:t>
      </w:r>
    </w:p>
    <w:p w14:paraId="6B5ED34F" w14:textId="77777777" w:rsidR="00D0443B" w:rsidRDefault="00AC45AF">
      <w:pPr>
        <w:pStyle w:val="ListBullet"/>
      </w:pPr>
      <w:r>
        <w:t>Establish a cross-functional task force across Quality, Supply Chain, Regulatory, Procurement, and Manufacturing.</w:t>
      </w:r>
    </w:p>
    <w:p w14:paraId="2FDD8013" w14:textId="77777777" w:rsidR="00D0443B" w:rsidRDefault="00AC45AF">
      <w:pPr>
        <w:pStyle w:val="ListBullet"/>
      </w:pPr>
      <w:r>
        <w:t>Strengthen supplier governance through KPI-based performance monitoring.</w:t>
      </w:r>
    </w:p>
    <w:p w14:paraId="5F8734D6" w14:textId="77777777" w:rsidR="00D0443B" w:rsidRDefault="00AC45AF">
      <w:pPr>
        <w:pStyle w:val="ListBullet"/>
      </w:pPr>
      <w:r>
        <w:t>Maintain audit-ready documentation to support FDA inspection readiness.</w:t>
      </w:r>
    </w:p>
    <w:p w14:paraId="6102F113" w14:textId="77777777" w:rsidR="00D0443B" w:rsidRDefault="00AC45AF">
      <w:pPr>
        <w:pStyle w:val="ListBullet"/>
      </w:pPr>
      <w:r>
        <w:t>Reduce reliance on single-source suppliers for high-risk components.</w:t>
      </w:r>
    </w:p>
    <w:p w14:paraId="48E73EFE" w14:textId="77777777" w:rsidR="00D0443B" w:rsidRDefault="00AC45AF">
      <w:pPr>
        <w:pStyle w:val="Heading2"/>
      </w:pPr>
      <w:r>
        <w:t>Immediate Actions</w:t>
      </w:r>
    </w:p>
    <w:p w14:paraId="6A686EFC" w14:textId="77777777" w:rsidR="00D0443B" w:rsidRDefault="00AC45AF">
      <w:pPr>
        <w:pStyle w:val="ListBullet"/>
      </w:pPr>
      <w:r>
        <w:t>Validate all current BIND567 batches and tighten incoming quality controls.</w:t>
      </w:r>
    </w:p>
    <w:p w14:paraId="4376BC26" w14:textId="77777777" w:rsidR="00D0443B" w:rsidRDefault="00AC45AF">
      <w:pPr>
        <w:pStyle w:val="ListBullet"/>
      </w:pPr>
      <w:r>
        <w:t>Initiate an audit of PrimeLogistics to identify traceability gaps for COMP042.</w:t>
      </w:r>
    </w:p>
    <w:p w14:paraId="3D1CC849" w14:textId="77777777" w:rsidR="00D0443B" w:rsidRDefault="00AC45AF">
      <w:pPr>
        <w:pStyle w:val="ListBullet"/>
      </w:pPr>
      <w:r>
        <w:t>Begin GMP remediation discussions with the COMP043 supplier.</w:t>
      </w:r>
    </w:p>
    <w:p w14:paraId="143C6121" w14:textId="77777777" w:rsidR="00D0443B" w:rsidRDefault="00AC45AF">
      <w:pPr>
        <w:pStyle w:val="ListBullet"/>
      </w:pPr>
      <w:r>
        <w:t>Communicate risk status and containment actions to Regulatory Affairs.</w:t>
      </w:r>
    </w:p>
    <w:p w14:paraId="6B66E2D6" w14:textId="77777777" w:rsidR="00D0443B" w:rsidRDefault="00AC45AF">
      <w:pPr>
        <w:pStyle w:val="Heading2"/>
      </w:pPr>
      <w:r>
        <w:t>Short-Term Actions (1–3 Weeks)</w:t>
      </w:r>
    </w:p>
    <w:p w14:paraId="65192041" w14:textId="77777777" w:rsidR="00D0443B" w:rsidRDefault="00AC45AF">
      <w:pPr>
        <w:pStyle w:val="ListBullet"/>
      </w:pPr>
      <w:r>
        <w:t>Onboard and validate alternate suppliers for BIND567 and COMP043.</w:t>
      </w:r>
    </w:p>
    <w:p w14:paraId="0FF748D7" w14:textId="77777777" w:rsidR="00D0443B" w:rsidRDefault="00AC45AF">
      <w:pPr>
        <w:pStyle w:val="ListBullet"/>
      </w:pPr>
      <w:r>
        <w:t>Complete formal traceability documentation for COMP042 to support FDA readiness.</w:t>
      </w:r>
    </w:p>
    <w:p w14:paraId="1CB210D0" w14:textId="77777777" w:rsidR="00D0443B" w:rsidRDefault="00AC45AF">
      <w:pPr>
        <w:pStyle w:val="ListBullet"/>
      </w:pPr>
      <w:r>
        <w:t>Monitor early compliance improvements from supplier corrective actions.</w:t>
      </w:r>
    </w:p>
    <w:p w14:paraId="763BB195" w14:textId="77777777" w:rsidR="00D0443B" w:rsidRDefault="00AC45AF">
      <w:pPr>
        <w:pStyle w:val="ListBullet"/>
      </w:pPr>
      <w:r>
        <w:t>Adjust inventory buffers and production schedules to reduce downtime risk.</w:t>
      </w:r>
    </w:p>
    <w:p w14:paraId="6B189FE8" w14:textId="77777777" w:rsidR="00D0443B" w:rsidRDefault="00AC45AF">
      <w:pPr>
        <w:pStyle w:val="Heading2"/>
      </w:pPr>
      <w:r>
        <w:t>Ongoing Actions</w:t>
      </w:r>
    </w:p>
    <w:p w14:paraId="2ABB6E02" w14:textId="77777777" w:rsidR="00D0443B" w:rsidRDefault="00AC45AF">
      <w:pPr>
        <w:pStyle w:val="ListBullet"/>
      </w:pPr>
      <w:r>
        <w:t>Track progress via weekly cross-functional review meetings.</w:t>
      </w:r>
    </w:p>
    <w:p w14:paraId="73781DC3" w14:textId="77777777" w:rsidR="00D0443B" w:rsidRDefault="00AC45AF">
      <w:pPr>
        <w:pStyle w:val="ListBullet"/>
      </w:pPr>
      <w:r>
        <w:t>Continuously monitor supplier KPIs and escalate deviations.</w:t>
      </w:r>
    </w:p>
    <w:p w14:paraId="621AB647" w14:textId="77777777" w:rsidR="00D0443B" w:rsidRDefault="00AC45AF">
      <w:pPr>
        <w:pStyle w:val="ListBullet"/>
      </w:pPr>
      <w:r>
        <w:t>Maintain ongoing supplier communication on corrective and preventive actions.</w:t>
      </w:r>
    </w:p>
    <w:p w14:paraId="35CFA61F" w14:textId="77777777" w:rsidR="00D0443B" w:rsidRDefault="00AC45AF">
      <w:pPr>
        <w:pStyle w:val="ListBullet"/>
      </w:pPr>
      <w:r>
        <w:t>Reassess sourcing strategies and safety stock levels on a quarterly basis.</w:t>
      </w:r>
    </w:p>
    <w:sectPr w:rsidR="00D04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084327">
    <w:abstractNumId w:val="8"/>
  </w:num>
  <w:num w:numId="2" w16cid:durableId="1357467706">
    <w:abstractNumId w:val="6"/>
  </w:num>
  <w:num w:numId="3" w16cid:durableId="399986367">
    <w:abstractNumId w:val="5"/>
  </w:num>
  <w:num w:numId="4" w16cid:durableId="465777778">
    <w:abstractNumId w:val="4"/>
  </w:num>
  <w:num w:numId="5" w16cid:durableId="757480930">
    <w:abstractNumId w:val="7"/>
  </w:num>
  <w:num w:numId="6" w16cid:durableId="1857570739">
    <w:abstractNumId w:val="3"/>
  </w:num>
  <w:num w:numId="7" w16cid:durableId="1830100632">
    <w:abstractNumId w:val="2"/>
  </w:num>
  <w:num w:numId="8" w16cid:durableId="792559066">
    <w:abstractNumId w:val="1"/>
  </w:num>
  <w:num w:numId="9" w16cid:durableId="34795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2D7"/>
    <w:rsid w:val="00AA1D8D"/>
    <w:rsid w:val="00AC45AF"/>
    <w:rsid w:val="00B47730"/>
    <w:rsid w:val="00CB0664"/>
    <w:rsid w:val="00D04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93390"/>
  <w14:defaultImageDpi w14:val="300"/>
  <w15:docId w15:val="{64A42567-A7BE-4171-98FF-85613003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1212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Clady, Madison [JJCUS]</cp:lastModifiedBy>
  <cp:revision>2</cp:revision>
  <dcterms:created xsi:type="dcterms:W3CDTF">2026-04-22T20:12:00Z</dcterms:created>
  <dcterms:modified xsi:type="dcterms:W3CDTF">2026-04-22T20:12:00Z</dcterms:modified>
  <cp:category/>
</cp:coreProperties>
</file>