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3639" w14:textId="3B9268F7" w:rsidR="005F3B11" w:rsidRDefault="00CC59DB">
      <w:pPr>
        <w:pStyle w:val="Heading1"/>
      </w:pPr>
      <w:r>
        <w:t xml:space="preserve">Supply Chain Issue Analysis Report </w:t>
      </w:r>
    </w:p>
    <w:p w14:paraId="71C7E326" w14:textId="77777777" w:rsidR="005F3B11" w:rsidRDefault="00CC59DB">
      <w:r>
        <w:t>Generated using a Copilot-assisted workflow based on Supply Chain Report.xlsx KPI analysis and the provided Supply Chain Analysis template format.</w:t>
      </w:r>
    </w:p>
    <w:p w14:paraId="1C621CB9" w14:textId="77777777" w:rsidR="005F3B11" w:rsidRDefault="00CC59DB">
      <w:pPr>
        <w:pStyle w:val="Heading2"/>
      </w:pPr>
      <w:r>
        <w:t>Executive Summary</w:t>
      </w:r>
    </w:p>
    <w:p w14:paraId="7AF498AE" w14:textId="77777777" w:rsidR="005F3B11" w:rsidRDefault="00CC59DB">
      <w:r>
        <w:t>This report summarizes supply chain risks across three delayed components (CARB123, BIND567, COAT890) using KPI analysis derived from Supply Chain Report.xlsx. Average delivery timelines differ by risk level, with Medium-risk items showing the longest average timeline (15.12 days). For delayed components, COAT890 has the lowest average on-time delivery rate (84.20%), indicating heightened schedule exposure. Supplier performance varies materially across the supply base, supporting targeted supplier governanc</w:t>
      </w:r>
      <w:r>
        <w:t>e and inventory buffering actions.</w:t>
      </w:r>
    </w:p>
    <w:p w14:paraId="14924340" w14:textId="77777777" w:rsidR="005F3B11" w:rsidRDefault="00CC59DB">
      <w:pPr>
        <w:pStyle w:val="Heading2"/>
      </w:pPr>
      <w:r>
        <w:t>Component Overview</w:t>
      </w:r>
    </w:p>
    <w:p w14:paraId="4A2AA16D" w14:textId="77777777" w:rsidR="005F3B11" w:rsidRDefault="00CC59DB">
      <w:pPr>
        <w:pStyle w:val="Heading3"/>
      </w:pPr>
      <w:r>
        <w:t>Component: CARB123</w:t>
      </w:r>
    </w:p>
    <w:p w14:paraId="607FAEC2" w14:textId="77777777" w:rsidR="005F3B11" w:rsidRDefault="00CC59DB">
      <w:r>
        <w:t>Supplier(s): RawMatPlus</w:t>
      </w:r>
    </w:p>
    <w:p w14:paraId="1D60325A" w14:textId="77777777" w:rsidR="005F3B11" w:rsidRDefault="00CC59DB">
      <w:r>
        <w:t>Average Delivery Timeline: 23.25 days</w:t>
      </w:r>
    </w:p>
    <w:p w14:paraId="0E78736D" w14:textId="77777777" w:rsidR="005F3B11" w:rsidRDefault="00CC59DB">
      <w:r>
        <w:t>Average On-Time Delivery Rate: 90.25%</w:t>
      </w:r>
    </w:p>
    <w:p w14:paraId="3DF0D013" w14:textId="77777777" w:rsidR="005F3B11" w:rsidRDefault="00CC59DB">
      <w:r>
        <w:t>Average Defect Rate: 2.66% | Quality Inspection Pass Rate: 94.75%</w:t>
      </w:r>
    </w:p>
    <w:p w14:paraId="5A6B3A93" w14:textId="77777777" w:rsidR="005F3B11" w:rsidRDefault="00CC59DB">
      <w:r>
        <w:t>Supplier Reliability: 90.00% | Lead Time Variance: 10.50 days | Forecast Accuracy: 90.25%</w:t>
      </w:r>
    </w:p>
    <w:p w14:paraId="5EB2F2CA" w14:textId="77777777" w:rsidR="005F3B11" w:rsidRDefault="00CC59DB">
      <w:pPr>
        <w:pStyle w:val="Heading3"/>
      </w:pPr>
      <w:r>
        <w:t>Component: BIND567</w:t>
      </w:r>
    </w:p>
    <w:p w14:paraId="121923F9" w14:textId="77777777" w:rsidR="005F3B11" w:rsidRDefault="00CC59DB">
      <w:r>
        <w:t>Supplier(s): EcoSupply</w:t>
      </w:r>
    </w:p>
    <w:p w14:paraId="6985D335" w14:textId="77777777" w:rsidR="005F3B11" w:rsidRDefault="00CC59DB">
      <w:r>
        <w:t>Average Delivery Timeline: 64.00 days</w:t>
      </w:r>
    </w:p>
    <w:p w14:paraId="4E048A98" w14:textId="77777777" w:rsidR="005F3B11" w:rsidRDefault="00CC59DB">
      <w:r>
        <w:t>Average On-Time Delivery Rate: 99.00%</w:t>
      </w:r>
    </w:p>
    <w:p w14:paraId="1F45CA1A" w14:textId="77777777" w:rsidR="005F3B11" w:rsidRDefault="00CC59DB">
      <w:r>
        <w:t>Average Defect Rate: 2.91% | Quality Inspection Pass Rate: 95.00%</w:t>
      </w:r>
    </w:p>
    <w:p w14:paraId="53671BF7" w14:textId="77777777" w:rsidR="005F3B11" w:rsidRDefault="00CC59DB">
      <w:r>
        <w:t>Supplier Reliability: 99.00% | Lead Time Variance: 26.00 days | Forecast Accuracy: 98.00%</w:t>
      </w:r>
    </w:p>
    <w:p w14:paraId="35A8A860" w14:textId="77777777" w:rsidR="005F3B11" w:rsidRDefault="00CC59DB">
      <w:pPr>
        <w:pStyle w:val="Heading3"/>
      </w:pPr>
      <w:r>
        <w:t>Component: COAT890</w:t>
      </w:r>
    </w:p>
    <w:p w14:paraId="225035F5" w14:textId="77777777" w:rsidR="005F3B11" w:rsidRDefault="00CC59DB">
      <w:r>
        <w:t>Supplier(s): GlobalChem, NextGen Pharma, RawMatPlus</w:t>
      </w:r>
    </w:p>
    <w:p w14:paraId="7A32ABA0" w14:textId="77777777" w:rsidR="005F3B11" w:rsidRDefault="00CC59DB">
      <w:r>
        <w:t>Average Delivery Timeline: 21.20 days</w:t>
      </w:r>
    </w:p>
    <w:p w14:paraId="04EF1F1A" w14:textId="77777777" w:rsidR="005F3B11" w:rsidRDefault="00CC59DB">
      <w:r>
        <w:t>Average On-Time Delivery Rate: 84.20%</w:t>
      </w:r>
    </w:p>
    <w:p w14:paraId="6488D33A" w14:textId="77777777" w:rsidR="005F3B11" w:rsidRDefault="00CC59DB">
      <w:r>
        <w:t>Average Defect Rate: 3.21% | Quality Inspection Pass Rate: 95.80%</w:t>
      </w:r>
    </w:p>
    <w:p w14:paraId="701C4D68" w14:textId="77777777" w:rsidR="005F3B11" w:rsidRDefault="00CC59DB">
      <w:r>
        <w:lastRenderedPageBreak/>
        <w:t>Supplier Reliability: 90.80% | Lead Time Variance: 8.20 days | Forecast Accuracy: 87.60%</w:t>
      </w:r>
    </w:p>
    <w:p w14:paraId="08D279DC" w14:textId="77777777" w:rsidR="005F3B11" w:rsidRDefault="00CC59DB">
      <w:pPr>
        <w:pStyle w:val="Heading2"/>
      </w:pPr>
      <w:r>
        <w:t>Implications for Compliance</w:t>
      </w:r>
    </w:p>
    <w:p w14:paraId="0D998FC4" w14:textId="77777777" w:rsidR="005F3B11" w:rsidRDefault="00CC59DB">
      <w:pPr>
        <w:pStyle w:val="ListBullet"/>
      </w:pPr>
      <w:r>
        <w:t>Continuity of Supply: Delivery variability increases the likelihood of schedule deviations and production interruptions, which can trigger deviation management under GMP.</w:t>
      </w:r>
    </w:p>
    <w:p w14:paraId="572D1770" w14:textId="77777777" w:rsidR="005F3B11" w:rsidRDefault="00CC59DB">
      <w:pPr>
        <w:pStyle w:val="ListBullet"/>
      </w:pPr>
      <w:r>
        <w:t>Documentation and Traceability: Variability and expediting increase the need for audit-ready receiving documentation and lot traceability.</w:t>
      </w:r>
    </w:p>
    <w:p w14:paraId="77E8F73B" w14:textId="77777777" w:rsidR="005F3B11" w:rsidRDefault="00CC59DB">
      <w:pPr>
        <w:pStyle w:val="ListBullet"/>
      </w:pPr>
      <w:r>
        <w:t>Quality Risk: Elevated defect rates can increase batch holds, rework, and release delays, increasing regulatory exposure.</w:t>
      </w:r>
    </w:p>
    <w:p w14:paraId="3F618094" w14:textId="77777777" w:rsidR="005F3B11" w:rsidRDefault="00CC59DB">
      <w:pPr>
        <w:pStyle w:val="Heading2"/>
      </w:pPr>
      <w:r>
        <w:t>Root Cause Analysis</w:t>
      </w:r>
    </w:p>
    <w:p w14:paraId="1A8E8835" w14:textId="77777777" w:rsidR="005F3B11" w:rsidRDefault="00CC59DB">
      <w:pPr>
        <w:pStyle w:val="ListBullet"/>
      </w:pPr>
      <w:r>
        <w:t>Lead time variability: Delivery timelines show wide ranges for certain components (notably COAT890), increasing planning complexity.</w:t>
      </w:r>
    </w:p>
    <w:p w14:paraId="690C15F2" w14:textId="77777777" w:rsidR="005F3B11" w:rsidRDefault="00CC59DB">
      <w:pPr>
        <w:pStyle w:val="ListBullet"/>
      </w:pPr>
      <w:r>
        <w:t>Supplier execution gaps: The lowest on-time supplier averages 87.90% on-time delivery, indicating a need for tighter governance.</w:t>
      </w:r>
    </w:p>
    <w:p w14:paraId="0FB2C3B4" w14:textId="77777777" w:rsidR="005F3B11" w:rsidRDefault="00CC59DB">
      <w:pPr>
        <w:pStyle w:val="ListBullet"/>
      </w:pPr>
      <w:r>
        <w:t>Forecasting alignment: Lower forecast accuracy at the supplier level suggests misalignment between demand signals and replenishment planning.</w:t>
      </w:r>
    </w:p>
    <w:p w14:paraId="580A7B40" w14:textId="77777777" w:rsidR="005F3B11" w:rsidRDefault="00CC59DB">
      <w:pPr>
        <w:pStyle w:val="ListBullet"/>
      </w:pPr>
      <w:r>
        <w:t>Quality variability: Defect-rate spikes in specific component/supplier combinations warrant targeted quality interventions.</w:t>
      </w:r>
    </w:p>
    <w:p w14:paraId="25271C32" w14:textId="77777777" w:rsidR="005F3B11" w:rsidRDefault="00CC59DB">
      <w:pPr>
        <w:pStyle w:val="Heading2"/>
      </w:pPr>
      <w:r>
        <w:t>Mitigation Strategies</w:t>
      </w:r>
    </w:p>
    <w:p w14:paraId="68716AC0" w14:textId="77777777" w:rsidR="005F3B11" w:rsidRDefault="00CC59DB">
      <w:pPr>
        <w:pStyle w:val="Heading3"/>
      </w:pPr>
      <w:r>
        <w:t>General Strategies</w:t>
      </w:r>
    </w:p>
    <w:p w14:paraId="6219379E" w14:textId="77777777" w:rsidR="005F3B11" w:rsidRDefault="00CC59DB">
      <w:pPr>
        <w:pStyle w:val="ListBullet"/>
      </w:pPr>
      <w:r>
        <w:t>Implement supplier scorecards (on-time delivery, defect rate, lead time variance, quality pass rate) with escalation thresholds and corrective action expectations.</w:t>
      </w:r>
    </w:p>
    <w:p w14:paraId="7C778981" w14:textId="77777777" w:rsidR="005F3B11" w:rsidRDefault="00CC59DB">
      <w:pPr>
        <w:pStyle w:val="ListBullet"/>
      </w:pPr>
      <w:r>
        <w:t>Adjust safety stock and reorder points for components with low on-time delivery or high lead time variance (priority: COAT890).</w:t>
      </w:r>
    </w:p>
    <w:p w14:paraId="10E3034A" w14:textId="77777777" w:rsidR="005F3B11" w:rsidRDefault="00CC59DB">
      <w:pPr>
        <w:pStyle w:val="ListBullet"/>
      </w:pPr>
      <w:r>
        <w:t>Strengthen supplier collaboration through rolling forecasts, shipment milestone tracking, and weekly exception management.</w:t>
      </w:r>
    </w:p>
    <w:p w14:paraId="7001F73C" w14:textId="77777777" w:rsidR="005F3B11" w:rsidRDefault="00CC59DB">
      <w:pPr>
        <w:pStyle w:val="ListBullet"/>
      </w:pPr>
      <w:r>
        <w:t>Apply risk-based incoming inspection increases for component/supplier pairs showing defect spikes or compliance sensitivity.</w:t>
      </w:r>
    </w:p>
    <w:p w14:paraId="1676B255" w14:textId="77777777" w:rsidR="005F3B11" w:rsidRDefault="00CC59DB">
      <w:pPr>
        <w:pStyle w:val="Heading3"/>
      </w:pPr>
      <w:r>
        <w:t>Component-Specific Strategies</w:t>
      </w:r>
    </w:p>
    <w:p w14:paraId="62A43254" w14:textId="77777777" w:rsidR="005F3B11" w:rsidRDefault="00CC59DB">
      <w:pPr>
        <w:pStyle w:val="ListBullet"/>
      </w:pPr>
      <w:r>
        <w:t>CARB123:</w:t>
      </w:r>
    </w:p>
    <w:p w14:paraId="502BBD58" w14:textId="77777777" w:rsidR="005F3B11" w:rsidRDefault="00CC59DB">
      <w:pPr>
        <w:pStyle w:val="ListBullet2"/>
      </w:pPr>
      <w:r>
        <w:t>Tighten scheduling cadence and shipment milestone confirmations with RawMatPlus.</w:t>
      </w:r>
    </w:p>
    <w:p w14:paraId="390BCA56" w14:textId="77777777" w:rsidR="005F3B11" w:rsidRDefault="00CC59DB">
      <w:pPr>
        <w:pStyle w:val="ListBullet2"/>
      </w:pPr>
      <w:r>
        <w:t>Use selective expediting when delivery timelines trend toward the high end and inventory approaches reorder point.</w:t>
      </w:r>
    </w:p>
    <w:p w14:paraId="145E1844" w14:textId="77777777" w:rsidR="005F3B11" w:rsidRDefault="00CC59DB">
      <w:pPr>
        <w:pStyle w:val="ListBullet2"/>
      </w:pPr>
      <w:r>
        <w:t>Review contract/service levels and define penalties or corrective actions for repeated delivery variance.</w:t>
      </w:r>
    </w:p>
    <w:p w14:paraId="78D5A611" w14:textId="77777777" w:rsidR="005F3B11" w:rsidRDefault="00CC59DB">
      <w:pPr>
        <w:pStyle w:val="ListBullet"/>
      </w:pPr>
      <w:r>
        <w:t>BIND567:</w:t>
      </w:r>
    </w:p>
    <w:p w14:paraId="3750D150" w14:textId="77777777" w:rsidR="005F3B11" w:rsidRDefault="00CC59DB">
      <w:pPr>
        <w:pStyle w:val="ListBullet2"/>
      </w:pPr>
      <w:r>
        <w:lastRenderedPageBreak/>
        <w:t>Mitigate long-lead exposure through earlier ordering triggers and increased buffer coverage.</w:t>
      </w:r>
    </w:p>
    <w:p w14:paraId="327ABCB6" w14:textId="77777777" w:rsidR="005F3B11" w:rsidRDefault="00CC59DB">
      <w:pPr>
        <w:pStyle w:val="ListBullet2"/>
      </w:pPr>
      <w:r>
        <w:t>Establish a variance watchlist and early escalation triggers if lead time variance increases.</w:t>
      </w:r>
    </w:p>
    <w:p w14:paraId="29A65302" w14:textId="77777777" w:rsidR="005F3B11" w:rsidRDefault="00CC59DB">
      <w:pPr>
        <w:pStyle w:val="ListBullet2"/>
      </w:pPr>
      <w:r>
        <w:t>Validate contingency suppliers to reduce single-source risk.</w:t>
      </w:r>
    </w:p>
    <w:p w14:paraId="6CCB32BD" w14:textId="77777777" w:rsidR="005F3B11" w:rsidRDefault="00CC59DB">
      <w:pPr>
        <w:pStyle w:val="ListBullet"/>
      </w:pPr>
      <w:r>
        <w:t>COAT890:</w:t>
      </w:r>
    </w:p>
    <w:p w14:paraId="4A6673A5" w14:textId="77777777" w:rsidR="005F3B11" w:rsidRDefault="00CC59DB">
      <w:pPr>
        <w:pStyle w:val="ListBullet2"/>
      </w:pPr>
      <w:r>
        <w:t>Prioritize supplier performance improvement due to the lowest on-time delivery rate among delayed components.</w:t>
      </w:r>
    </w:p>
    <w:p w14:paraId="576F6BDD" w14:textId="77777777" w:rsidR="005F3B11" w:rsidRDefault="00CC59DB">
      <w:pPr>
        <w:pStyle w:val="ListBullet2"/>
      </w:pPr>
      <w:r>
        <w:t>Evaluate alternate sourcing and dual-sourcing to reduce variability and stockout risk.</w:t>
      </w:r>
    </w:p>
    <w:p w14:paraId="6889DED7" w14:textId="77777777" w:rsidR="005F3B11" w:rsidRDefault="00CC59DB">
      <w:pPr>
        <w:pStyle w:val="ListBullet2"/>
      </w:pPr>
      <w:r>
        <w:t>Increase safety stock temporarily and monitor consumption vs. replenishment cycle time.</w:t>
      </w:r>
    </w:p>
    <w:p w14:paraId="0C36CAFB" w14:textId="77777777" w:rsidR="005F3B11" w:rsidRDefault="00CC59DB">
      <w:pPr>
        <w:pStyle w:val="Heading2"/>
      </w:pPr>
      <w:r>
        <w:t>Data Appendix (KPI Summary)</w:t>
      </w:r>
    </w:p>
    <w:p w14:paraId="2D15AFBD" w14:textId="77777777" w:rsidR="005F3B11" w:rsidRDefault="00CC59DB">
      <w:r>
        <w:t>KPI 1: Average Delivery Timeline by Risk Level</w:t>
      </w:r>
    </w:p>
    <w:p w14:paraId="3403B41C" w14:textId="77777777" w:rsidR="005F3B11" w:rsidRDefault="00CC59DB">
      <w:pPr>
        <w:pStyle w:val="ListBullet"/>
      </w:pPr>
      <w:r>
        <w:t>High: 11.25 days</w:t>
      </w:r>
    </w:p>
    <w:p w14:paraId="0D2176D5" w14:textId="77777777" w:rsidR="005F3B11" w:rsidRDefault="00CC59DB">
      <w:pPr>
        <w:pStyle w:val="ListBullet"/>
      </w:pPr>
      <w:r>
        <w:t>Medium: 15.12 days</w:t>
      </w:r>
    </w:p>
    <w:p w14:paraId="57D888FE" w14:textId="77777777" w:rsidR="005F3B11" w:rsidRDefault="00CC59DB">
      <w:pPr>
        <w:pStyle w:val="ListBullet"/>
      </w:pPr>
      <w:r>
        <w:t>Low: 12.86 days</w:t>
      </w:r>
    </w:p>
    <w:p w14:paraId="290C5A48" w14:textId="77777777" w:rsidR="005F3B11" w:rsidRDefault="00CC59DB">
      <w:r>
        <w:t>KPI 2: On-Time Delivery for Delayed Components</w:t>
      </w:r>
    </w:p>
    <w:p w14:paraId="59F0461C" w14:textId="77777777" w:rsidR="005F3B11" w:rsidRDefault="00CC59DB">
      <w:pPr>
        <w:pStyle w:val="ListBullet"/>
      </w:pPr>
      <w:r>
        <w:t>CARB123: 90.25% (Records: 4)</w:t>
      </w:r>
    </w:p>
    <w:p w14:paraId="71BE84B9" w14:textId="77777777" w:rsidR="005F3B11" w:rsidRDefault="00CC59DB">
      <w:pPr>
        <w:pStyle w:val="ListBullet"/>
      </w:pPr>
      <w:r>
        <w:t>BIND567: 99.00% (Records: 1)</w:t>
      </w:r>
    </w:p>
    <w:p w14:paraId="34F6A445" w14:textId="77777777" w:rsidR="005F3B11" w:rsidRDefault="00CC59DB">
      <w:pPr>
        <w:pStyle w:val="ListBullet"/>
      </w:pPr>
      <w:r>
        <w:t>COAT890: 84.20% (Records: 5)</w:t>
      </w:r>
    </w:p>
    <w:p w14:paraId="7508B6AB" w14:textId="77777777" w:rsidR="005F3B11" w:rsidRDefault="00CC59DB">
      <w:r>
        <w:t>KPI 3: Supplier Performance Snapshot (Avg On-Time Delivery)</w:t>
      </w:r>
    </w:p>
    <w:p w14:paraId="6A54A286" w14:textId="77777777" w:rsidR="005F3B11" w:rsidRDefault="00CC59DB">
      <w:pPr>
        <w:pStyle w:val="ListBullet"/>
      </w:pPr>
      <w:r>
        <w:t>EcoSupply: 87.90% on-time (Records: 10)</w:t>
      </w:r>
    </w:p>
    <w:p w14:paraId="4BEBD7CE" w14:textId="77777777" w:rsidR="005F3B11" w:rsidRDefault="00CC59DB">
      <w:pPr>
        <w:pStyle w:val="ListBullet"/>
      </w:pPr>
      <w:r>
        <w:t>PrimeLogistics: 88.00% on-time (Records: 7)</w:t>
      </w:r>
    </w:p>
    <w:p w14:paraId="31C2CD9B" w14:textId="77777777" w:rsidR="005F3B11" w:rsidRDefault="00CC59DB">
      <w:pPr>
        <w:pStyle w:val="ListBullet"/>
      </w:pPr>
      <w:r>
        <w:t>RawMatPlus: 90.62% on-time (Records: 13)</w:t>
      </w:r>
    </w:p>
    <w:p w14:paraId="19568FFF" w14:textId="77777777" w:rsidR="005F3B11" w:rsidRDefault="00CC59DB">
      <w:pPr>
        <w:pStyle w:val="ListBullet"/>
      </w:pPr>
      <w:r>
        <w:t>GlobalChem: 90.89% on-time (Records: 9)</w:t>
      </w:r>
    </w:p>
    <w:p w14:paraId="28DEF790" w14:textId="77777777" w:rsidR="005F3B11" w:rsidRDefault="00CC59DB">
      <w:pPr>
        <w:pStyle w:val="ListBullet"/>
      </w:pPr>
      <w:r>
        <w:t>NextGen Pharma: 91.55% on-time (Records: 11)</w:t>
      </w:r>
    </w:p>
    <w:sectPr w:rsidR="005F3B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217903">
    <w:abstractNumId w:val="8"/>
  </w:num>
  <w:num w:numId="2" w16cid:durableId="407771166">
    <w:abstractNumId w:val="6"/>
  </w:num>
  <w:num w:numId="3" w16cid:durableId="858617392">
    <w:abstractNumId w:val="5"/>
  </w:num>
  <w:num w:numId="4" w16cid:durableId="2079209526">
    <w:abstractNumId w:val="4"/>
  </w:num>
  <w:num w:numId="5" w16cid:durableId="1008800072">
    <w:abstractNumId w:val="7"/>
  </w:num>
  <w:num w:numId="6" w16cid:durableId="1963264623">
    <w:abstractNumId w:val="3"/>
  </w:num>
  <w:num w:numId="7" w16cid:durableId="955022807">
    <w:abstractNumId w:val="2"/>
  </w:num>
  <w:num w:numId="8" w16cid:durableId="1059747053">
    <w:abstractNumId w:val="1"/>
  </w:num>
  <w:num w:numId="9" w16cid:durableId="46015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3B11"/>
    <w:rsid w:val="006322D7"/>
    <w:rsid w:val="00AA1D8D"/>
    <w:rsid w:val="00B47730"/>
    <w:rsid w:val="00CB0664"/>
    <w:rsid w:val="00CC5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677A1"/>
  <w14:defaultImageDpi w14:val="300"/>
  <w15:docId w15:val="{64A42567-A7BE-4171-98FF-85613003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4032</Characters>
  <Application>Microsoft Office Word</Application>
  <DocSecurity>0</DocSecurity>
  <Lines>70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Clady, Madison [JJCUS]</cp:lastModifiedBy>
  <cp:revision>2</cp:revision>
  <dcterms:created xsi:type="dcterms:W3CDTF">2026-04-22T20:34:00Z</dcterms:created>
  <dcterms:modified xsi:type="dcterms:W3CDTF">2026-04-22T20:34:00Z</dcterms:modified>
  <cp:category/>
</cp:coreProperties>
</file>