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60"/>
        <w:jc w:val="center"/>
      </w:pPr>
      <w:r>
        <w:rPr>
          <w:b/>
          <w:bCs/>
          <w:color w:val="8B0000"/>
          <w:sz w:val="60"/>
          <w:szCs w:val="60"/>
        </w:rPr>
        <w:t xml:space="preserve">IGBT END-OF-LIFE</w:t>
      </w:r>
    </w:p>
    <w:p>
      <w:pPr>
        <w:spacing w:after="200"/>
        <w:jc w:val="center"/>
      </w:pPr>
      <w:r>
        <w:rPr>
          <w:b/>
          <w:bCs/>
          <w:color w:val="8B0000"/>
          <w:sz w:val="60"/>
          <w:szCs w:val="60"/>
        </w:rPr>
        <w:t xml:space="preserve">&amp; AGING MANAGEMENT</w:t>
      </w:r>
    </w:p>
    <w:p>
      <w:pPr>
        <w:spacing w:after="600"/>
        <w:jc w:val="center"/>
      </w:pPr>
      <w:r>
        <w:rPr>
          <w:i/>
          <w:iCs/>
          <w:color w:val="595959"/>
          <w:sz w:val="28"/>
          <w:szCs w:val="28"/>
        </w:rPr>
        <w:t xml:space="preserve">Asset Health Monitoring for Solar Inverter Fleets</w:t>
      </w:r>
    </w:p>
    <w:p>
      <w:pPr>
        <w:spacing w:after="400"/>
        <w:jc w:val="center"/>
      </w:pPr>
      <w:r>
        <w:rPr>
          <w:color w:val="8B0000"/>
        </w:rPr>
        <w:t xml:space="preserve">━━━━━━━━━━━━━━━━━━━━━━━━━━━━━━</w:t>
      </w:r>
    </w:p>
    <w:p>
      <w:pPr>
        <w:spacing w:after="60"/>
        <w:jc w:val="center"/>
      </w:pPr>
      <w:r>
        <w:rPr>
          <w:b/>
          <w:bCs/>
          <w:color w:val="1F1F1F"/>
          <w:sz w:val="28"/>
          <w:szCs w:val="28"/>
        </w:rPr>
        <w:t xml:space="preserve">INGETEAM INGECON SUN Three-Phase Family</w:t>
      </w:r>
    </w:p>
    <w:p>
      <w:pPr>
        <w:spacing w:after="600"/>
        <w:jc w:val="center"/>
      </w:pPr>
      <w:r>
        <w:rPr>
          <w:color w:val="1F1F1F"/>
          <w:sz w:val="22"/>
          <w:szCs w:val="22"/>
        </w:rPr>
        <w:t xml:space="preserve">Failure Mechanisms · Symptoms · Modbus Monitoring · Replacement Planning</w:t>
      </w:r>
    </w:p>
    <w:p>
      <w:pPr>
        <w:spacing w:after="400"/>
        <w:jc w:val="center"/>
      </w:pPr>
      <w:r>
        <w:rPr>
          <w:color w:val="8B0000"/>
        </w:rPr>
        <w:t xml:space="preserve">━━━━━━━━━━━━━━━━━━━━━━━━━━━━━━</w:t>
      </w:r>
    </w:p>
    <w:p>
      <w:pPr>
        <w:spacing w:after="30"/>
        <w:jc w:val="center"/>
      </w:pPr>
      <w:r>
        <w:rPr>
          <w:i/>
          <w:iCs/>
          <w:color w:val="595959"/>
          <w:sz w:val="18"/>
          <w:szCs w:val="18"/>
        </w:rPr>
        <w:t xml:space="preserve">Companion to:  Ingeteam Modbus-RTU Manual (AAS1000ICB08_)</w:t>
      </w:r>
    </w:p>
    <w:p>
      <w:pPr>
        <w:spacing w:after="1000"/>
        <w:jc w:val="center"/>
      </w:pPr>
      <w:r>
        <w:rPr>
          <w:i/>
          <w:iCs/>
          <w:color w:val="595959"/>
          <w:sz w:val="18"/>
          <w:szCs w:val="18"/>
        </w:rPr>
        <w:t xml:space="preserve">Companion to:  Grid Compliance Testing Manual (PGC 2016)</w:t>
      </w:r>
    </w:p>
    <w:p>
      <w:pPr>
        <w:jc w:val="center"/>
      </w:pPr>
      <w:r>
        <w:rPr>
          <w:b/>
          <w:bCs/>
          <w:color w:val="8B0000"/>
          <w:sz w:val="16"/>
          <w:szCs w:val="16"/>
        </w:rPr>
        <w:t xml:space="preserve">FIELD ENGINEERS · O&amp;M TEAMS · ASSET MANAGERS · CAPITAL PLANNERS</w:t>
      </w:r>
    </w:p>
    <w:p>
      <w:r>
        <w:br w:type="page"/>
      </w:r>
    </w:p>
    <w:p>
      <w:pPr>
        <w:pStyle w:val="Heading1"/>
        <w:spacing w:after="200" w:before="360"/>
      </w:pPr>
      <w:r>
        <w:t xml:space="preserve">Executive Summary</w:t>
      </w:r>
    </w:p>
    <w:p>
      <w:pPr>
        <w:spacing w:after="100"/>
      </w:pPr>
      <w:r>
        <w:t xml:space="preserve">Insulated-Gate Bipolar Transistors (IGBTs) are the central power-switching devices in every modern PV inverter. They wear out through accumulated thermal-mechanical and electrical stress, with typical operational lifetimes of 15 to 20 years in utility-scale solar service. Failure is rarely sudden — IGBTs progress through a recognizable sequence of degradation symptoms before catastrophic failure, and these symptoms are detectable through the Modbus telemetry already exposed by the INGETEAM INGECON SUN platform.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8B0" w:val="clear"/>
            <w:tcMar>
              <w:top w:type="dxa" w:w="120"/>
              <w:left w:type="dxa" w:w="200"/>
              <w:bottom w:type="dxa" w:w="120"/>
              <w:right w:type="dxa" w:w="200"/>
            </w:tcMar>
          </w:tcPr>
          <w:p>
            <w:pPr>
              <w:spacing w:after="80"/>
            </w:pPr>
            <w:r>
              <w:rPr>
                <w:b/>
                <w:bCs/>
                <w:sz w:val="22"/>
                <w:szCs w:val="22"/>
              </w:rPr>
              <w:t xml:space="preserve">Key Findings for the ADSI Plant</w:t>
            </w:r>
          </w:p>
          <w:p>
            <w:pPr>
              <w:spacing w:after="60"/>
            </w:pPr>
            <w:r>
              <w:rPr>
                <w:sz w:val="20"/>
                <w:szCs w:val="20"/>
              </w:rPr>
              <w:t xml:space="preserve">INGETEAM inverters commissioned in the early-to-mid 2010s are now in the second half of their typical IGBT operational life.</w:t>
            </w:r>
          </w:p>
          <w:p>
            <w:pPr>
              <w:spacing w:after="60"/>
            </w:pPr>
            <w:r>
              <w:rPr>
                <w:sz w:val="20"/>
                <w:szCs w:val="20"/>
              </w:rPr>
              <w:t xml:space="preserve">Solar inverter operation is particularly demanding on IGBT bond-wire fatigue due to daily macro thermal cycles plus frequent micro-cycles from cloud passages.</w:t>
            </w:r>
          </w:p>
          <w:p>
            <w:pPr>
              <w:spacing w:after="60"/>
            </w:pPr>
            <w:r>
              <w:rPr>
                <w:sz w:val="20"/>
                <w:szCs w:val="20"/>
              </w:rPr>
              <w:t xml:space="preserve">The Modbus alarm and stop-reason registers documented in the AAS1000ICB08_ manual already contain the leading indicators needed for IGBT health monitoring — particularly ALARMA_FRAMA (branch failure) and ALARMA_TEMPERATURA (thermal stress).</w:t>
            </w:r>
          </w:p>
          <w:p>
            <w:pPr>
              <w:spacing w:after="60"/>
            </w:pPr>
            <w:r>
              <w:rPr>
                <w:sz w:val="20"/>
                <w:szCs w:val="20"/>
              </w:rPr>
              <w:t xml:space="preserve">Capital planning for inverter refurbishment or replacement should be active now for any plant operating original 2013-era equipment, not deferred to the late stages of the asset's life.</w:t>
            </w:r>
          </w:p>
          <w:p>
            <w:pPr>
              <w:spacing w:after="60"/>
            </w:pPr>
            <w:r>
              <w:rPr>
                <w:sz w:val="20"/>
                <w:szCs w:val="20"/>
              </w:rPr>
              <w:t xml:space="preserve">The custom Modbus dashboard already in place at ADSI is well-positioned to provide the asset-health intelligence needed to prioritize replacement work and inform capital planning conversations with management.</w:t>
            </w:r>
          </w:p>
        </w:tc>
      </w:tr>
    </w:tbl>
    <w:p>
      <w:pPr>
        <w:spacing w:after="80"/>
      </w:pPr>
      <w:r>
        <w:t xml:space="preserve"/>
      </w:r>
    </w:p>
    <w:p>
      <w:pPr>
        <w:pStyle w:val="Heading2"/>
        <w:spacing w:after="160" w:before="280"/>
      </w:pPr>
      <w:r>
        <w:t xml:space="preserve">Document Scope</w:t>
      </w:r>
    </w:p>
    <w:p>
      <w:pPr>
        <w:spacing w:after="100"/>
      </w:pPr>
      <w:r>
        <w:t xml:space="preserve">This document covers IGBT failure mechanisms, observable symptoms in INGETEAM Modbus telemetry, recommended monitoring procedures using existing Modbus registers, and the framework for translating monitoring data into replacement decisions and capital planning.</w:t>
      </w:r>
    </w:p>
    <w:p>
      <w:pPr>
        <w:spacing w:after="100"/>
      </w:pPr>
      <w:r>
        <w:t xml:space="preserve">It does NOT cover:</w:t>
      </w:r>
    </w:p>
    <w:p>
      <w:pPr>
        <w:pStyle w:val="ListParagraph"/>
        <w:numPr>
          <w:ilvl w:val="0"/>
          <w:numId w:val="2"/>
        </w:numPr>
        <w:spacing w:after="60"/>
      </w:pPr>
      <w:r>
        <w:t xml:space="preserve">Hands-on IGBT replacement procedures (vendor service manuals; specialist work)</w:t>
      </w:r>
    </w:p>
    <w:p>
      <w:pPr>
        <w:pStyle w:val="ListParagraph"/>
        <w:numPr>
          <w:ilvl w:val="0"/>
          <w:numId w:val="2"/>
        </w:numPr>
        <w:spacing w:after="60"/>
      </w:pPr>
      <w:r>
        <w:t xml:space="preserve">Specific procurement contacts or part numbers (these change; contact Ingeteam directly)</w:t>
      </w:r>
    </w:p>
    <w:p>
      <w:pPr>
        <w:pStyle w:val="ListParagraph"/>
        <w:numPr>
          <w:ilvl w:val="0"/>
          <w:numId w:val="2"/>
        </w:numPr>
        <w:spacing w:after="60"/>
      </w:pPr>
      <w:r>
        <w:t xml:space="preserve">Thermal modeling for IGBT lifetime prediction at the device-physics level (academic literature)</w:t>
      </w:r>
    </w:p>
    <w:p>
      <w:pPr>
        <w:spacing w:after="80"/>
      </w:pPr>
      <w:r>
        <w:t xml:space="preserve"/>
      </w:r>
    </w:p>
    <w:p>
      <w:r>
        <w:br w:type="page"/>
      </w:r>
    </w:p>
    <w:p>
      <w:pPr>
        <w:pStyle w:val="Heading1"/>
        <w:spacing w:after="200" w:before="360"/>
      </w:pPr>
      <w:r>
        <w:t xml:space="preserve">Table of Contents</w:t>
      </w:r>
    </w:p>
    <w:p>
      <w:pPr>
        <w:spacing w:after="200"/>
      </w:pPr>
      <w:r>
        <w:rPr>
          <w:i/>
          <w:iCs/>
          <w:color w:val="595959"/>
          <w:sz w:val="18"/>
          <w:szCs w:val="18"/>
        </w:rPr>
        <w:t xml:space="preserve">Right-click and select "Update Field" in Word to populate.</w:t>
      </w:r>
    </w:p>
    <w:sdt>
      <w:sdtPr>
        <w:alias w:val="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360"/>
      </w:pPr>
      <w:r>
        <w:t xml:space="preserve">1. IGBT Fundamentals</w:t>
      </w:r>
    </w:p>
    <w:p>
      <w:pPr>
        <w:pStyle w:val="Heading2"/>
        <w:spacing w:after="160" w:before="280"/>
      </w:pPr>
      <w:r>
        <w:t xml:space="preserve">1.1 What an IGBT Is</w:t>
      </w:r>
    </w:p>
    <w:p>
      <w:pPr>
        <w:spacing w:after="100"/>
      </w:pPr>
      <w:r>
        <w:t xml:space="preserve">An Insulated-Gate Bipolar Transistor combines the high-input-impedance gate-control characteristics of a MOSFET with the high-current, low-saturation-voltage conduction characteristics of a bipolar junction transistor. In a solar inverter, IGBTs are the high-power switches that convert the DC voltage from the PV array into the AC current waveform delivered to the grid.</w:t>
      </w:r>
    </w:p>
    <w:p>
      <w:pPr>
        <w:spacing w:after="100"/>
      </w:pPr>
      <w:r>
        <w:t xml:space="preserve">Each IGBT in the inverter switches on and off thousands of times per second (typically at the inverter's switching frequency of 2–8 kHz). When ON, current flows from collector to emitter through the device. When OFF, the device blocks the DC voltage. By rapidly modulating the on/off pattern of multiple IGBTs in a coordinated bridge configuration, the inverter synthesizes a sinusoidal AC waveform from the DC bus.</w:t>
      </w:r>
    </w:p>
    <w:p>
      <w:pPr>
        <w:pStyle w:val="Heading2"/>
        <w:spacing w:after="160" w:before="280"/>
      </w:pPr>
      <w:r>
        <w:t xml:space="preserve">1.2 Bridge Configuration in INGETEAM Three-Phase Inverters</w:t>
      </w:r>
    </w:p>
    <w:p>
      <w:pPr>
        <w:spacing w:after="100"/>
      </w:pPr>
      <w:r>
        <w:t xml:space="preserve">Three-phase grid-tied inverters use a six-pulse bridge: two IGBTs per phase (upper and lower in a half-bridge), three phases, six IGBTs total per power module. Larger inverters parallel multiple modules to achieve higher current capacity. This is why the INGETEAM stop-reason codes reference branch failures by branch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3360"/>
      </w:tblGrid>
      <w:tr>
        <w:trPr>
          <w:tblHeader/>
        </w:trPr>
        <w:tc>
          <w:tcPr>
            <w:tcW w:type="dxa" w:w="15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Stop Code</w:t>
            </w:r>
          </w:p>
        </w:tc>
        <w:tc>
          <w:tcPr>
            <w:tcW w:type="dxa" w:w="30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Symbol</w:t>
            </w:r>
          </w:p>
        </w:tc>
        <w:tc>
          <w:tcPr>
            <w:tcW w:type="dxa" w:w="15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Branch</w:t>
            </w:r>
          </w:p>
        </w:tc>
        <w:tc>
          <w:tcPr>
            <w:tcW w:type="dxa" w:w="33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Modbus Reference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29</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MOTIVO_PARO_FRAMA1</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Branch 1</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30084 / 30090 / 30096 / 30102 / 30108</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MOTIVO_PARO_FRAMA2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Branch 2</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Same registers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13</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MOTIVO_PARO_FRAMA3</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Branch 3</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Same registers</w:t>
            </w:r>
          </w:p>
        </w:tc>
      </w:tr>
    </w:tbl>
    <w:p>
      <w:pPr>
        <w:spacing w:after="80"/>
      </w:pPr>
      <w:r>
        <w:t xml:space="preserve"/>
      </w:r>
    </w:p>
    <w:p>
      <w:pPr>
        <w:spacing w:after="100"/>
      </w:pPr>
      <w:r>
        <w:t xml:space="preserve">In INGETEAM terminology, "FRAMA" derives from the Spanish word "rama" (branch), referring to one of the three half-bridge legs in the power module — one per AC phase. A FRAMA fault means the IGBT pair (upper + lower) for one specific phase has detected an anomaly.</w:t>
      </w:r>
    </w:p>
    <w:p>
      <w:pPr>
        <w:pStyle w:val="Heading2"/>
        <w:spacing w:after="160" w:before="280"/>
      </w:pPr>
      <w:r>
        <w:t xml:space="preserve">1.3 IGBT Module Construction</w:t>
      </w:r>
    </w:p>
    <w:p>
      <w:pPr>
        <w:spacing w:after="100"/>
      </w:pPr>
      <w:r>
        <w:t xml:space="preserve">Industrial IGBTs used in utility-scale solar inverters are not single discrete devices — they are modules containing multiple chips bonded onto a common substrate. A typical module construction layered from top to bottom:</w:t>
      </w:r>
    </w:p>
    <w:p>
      <w:pPr>
        <w:pStyle w:val="ListParagraph"/>
        <w:numPr>
          <w:ilvl w:val="0"/>
          <w:numId w:val="2"/>
        </w:numPr>
        <w:spacing w:after="60"/>
      </w:pPr>
      <w:r>
        <w:t xml:space="preserve">Plastic housing with terminals</w:t>
      </w:r>
    </w:p>
    <w:p>
      <w:pPr>
        <w:pStyle w:val="ListParagraph"/>
        <w:numPr>
          <w:ilvl w:val="0"/>
          <w:numId w:val="2"/>
        </w:numPr>
        <w:spacing w:after="60"/>
      </w:pPr>
      <w:r>
        <w:t xml:space="preserve">Encapsulation gel (silicone) protecting the chips</w:t>
      </w:r>
    </w:p>
    <w:p>
      <w:pPr>
        <w:pStyle w:val="ListParagraph"/>
        <w:numPr>
          <w:ilvl w:val="0"/>
          <w:numId w:val="2"/>
        </w:numPr>
        <w:spacing w:after="60"/>
      </w:pPr>
      <w:r>
        <w:t xml:space="preserve">Aluminum bond wires connecting chip surfaces to terminals</w:t>
      </w:r>
    </w:p>
    <w:p>
      <w:pPr>
        <w:pStyle w:val="ListParagraph"/>
        <w:numPr>
          <w:ilvl w:val="0"/>
          <w:numId w:val="2"/>
        </w:numPr>
        <w:spacing w:after="60"/>
      </w:pPr>
      <w:r>
        <w:t xml:space="preserve">IGBT silicon chips (multiple in parallel for current sharing)</w:t>
      </w:r>
    </w:p>
    <w:p>
      <w:pPr>
        <w:pStyle w:val="ListParagraph"/>
        <w:numPr>
          <w:ilvl w:val="0"/>
          <w:numId w:val="2"/>
        </w:numPr>
        <w:spacing w:after="60"/>
      </w:pPr>
      <w:r>
        <w:t xml:space="preserve">Anti-parallel diode chips (handle reverse current during commutation)</w:t>
      </w:r>
    </w:p>
    <w:p>
      <w:pPr>
        <w:pStyle w:val="ListParagraph"/>
        <w:numPr>
          <w:ilvl w:val="0"/>
          <w:numId w:val="2"/>
        </w:numPr>
        <w:spacing w:after="60"/>
      </w:pPr>
      <w:r>
        <w:t xml:space="preserve">Solder layer attaching chips to substrate</w:t>
      </w:r>
    </w:p>
    <w:p>
      <w:pPr>
        <w:pStyle w:val="ListParagraph"/>
        <w:numPr>
          <w:ilvl w:val="0"/>
          <w:numId w:val="2"/>
        </w:numPr>
        <w:spacing w:after="60"/>
      </w:pPr>
      <w:r>
        <w:t xml:space="preserve">Direct Bond Copper (DBC) ceramic substrate — provides electrical isolation while conducting heat</w:t>
      </w:r>
    </w:p>
    <w:p>
      <w:pPr>
        <w:pStyle w:val="ListParagraph"/>
        <w:numPr>
          <w:ilvl w:val="0"/>
          <w:numId w:val="2"/>
        </w:numPr>
        <w:spacing w:after="60"/>
      </w:pPr>
      <w:r>
        <w:t xml:space="preserve">Solder layer attaching DBC to baseplate</w:t>
      </w:r>
    </w:p>
    <w:p>
      <w:pPr>
        <w:pStyle w:val="ListParagraph"/>
        <w:numPr>
          <w:ilvl w:val="0"/>
          <w:numId w:val="2"/>
        </w:numPr>
        <w:spacing w:after="60"/>
      </w:pPr>
      <w:r>
        <w:t xml:space="preserve">Copper baseplate — interfaces to the inverter heatsink via thermal paste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Why this matters for failure analysis</w:t>
            </w:r>
          </w:p>
          <w:p>
            <w:pPr>
              <w:spacing w:after="60"/>
            </w:pPr>
            <w:r>
              <w:rPr>
                <w:sz w:val="20"/>
                <w:szCs w:val="20"/>
              </w:rPr>
              <w:t xml:space="preserve">Each layer of this construction is a candidate failure site. The dominant failure modes — bond wire lift-off and solder fatigue — both originate at thermal interfaces between materials with different coefficients of expansion.</w:t>
            </w:r>
          </w:p>
          <w:p>
            <w:pPr>
              <w:spacing w:after="60"/>
            </w:pPr>
            <w:r>
              <w:rPr>
                <w:sz w:val="20"/>
                <w:szCs w:val="20"/>
              </w:rPr>
              <w:t xml:space="preserve">The module is essentially a sandwich of materials that expand and contract by different amounts every time the inverter heats and cools. Each thermal cycle puts mechanical stress somewhere in the stack. The weakest link wears first.</w:t>
            </w:r>
          </w:p>
        </w:tc>
      </w:tr>
    </w:tbl>
    <w:p>
      <w:r>
        <w:br w:type="page"/>
      </w:r>
    </w:p>
    <w:p>
      <w:pPr>
        <w:pStyle w:val="Heading1"/>
        <w:spacing w:after="200" w:before="360"/>
      </w:pPr>
      <w:r>
        <w:t xml:space="preserve">2. IGBT Failure Mechanisms</w:t>
      </w:r>
    </w:p>
    <w:p>
      <w:pPr>
        <w:spacing w:after="100"/>
      </w:pPr>
      <w:r>
        <w:t xml:space="preserve">IGBTs accumulate damage through three independent aging mechanisms. Any one of them can be the limiting factor for a given module's lifetime, depending on operating conditions. Understanding which mechanism dominates in your environment helps target the right monitoring strategy.</w:t>
      </w:r>
    </w:p>
    <w:p>
      <w:pPr>
        <w:pStyle w:val="Heading2"/>
        <w:spacing w:after="160" w:before="280"/>
      </w:pPr>
      <w:r>
        <w:t xml:space="preserve">2.1 Bond Wire Fatigue (Dominant in Solar Inverters)</w:t>
      </w:r>
    </w:p>
    <w:p>
      <w:pPr>
        <w:pStyle w:val="Heading3"/>
        <w:spacing w:after="120" w:before="220"/>
      </w:pPr>
      <w:r>
        <w:t xml:space="preserve">2.1.1 The Mechanism</w:t>
      </w:r>
    </w:p>
    <w:p>
      <w:pPr>
        <w:spacing w:after="100"/>
      </w:pPr>
      <w:r>
        <w:t xml:space="preserve">Inside each IGBT module, aluminum bond wires (typically 300–500 μm diameter) connect the silicon chip surface to the package terminals. These wires carry the full load current and are the path through which the device's operating current flows.</w:t>
      </w:r>
    </w:p>
    <w:p>
      <w:pPr>
        <w:spacing w:after="100"/>
      </w:pPr>
      <w:r>
        <w:t xml:space="preserve">Aluminum and silicon have different thermal expansion coefficients. Each time the IGBT conducts current, it heats up; the silicon chip and the aluminum bond expand by different amounts. When the IGBT stops conducting and cools, both contract, again at different rates. The bond between aluminum and silicon experiences mechanical shear stress with every thermal cycle.</w:t>
      </w:r>
    </w:p>
    <w:p>
      <w:pPr>
        <w:spacing w:after="100"/>
      </w:pPr>
      <w:r>
        <w:t xml:space="preserve">Over thousands to millions of thermal cycles, the bond develops microcracks at the wire-to-chip interface. The crack grows incrementally with each cycle. Eventually the wire lifts off entirely — first one wire, then more — until the remaining wires cannot carry the full load current and the module fails catastrophically.</w:t>
      </w:r>
    </w:p>
    <w:p>
      <w:pPr>
        <w:pStyle w:val="Heading3"/>
        <w:spacing w:after="120" w:before="220"/>
      </w:pPr>
      <w:r>
        <w:t xml:space="preserve">2.1.2 Why Solar Operation is Hard on Bond Wires</w:t>
      </w:r>
    </w:p>
    <w:p>
      <w:pPr>
        <w:spacing w:after="100"/>
      </w:pPr>
      <w:r>
        <w:t xml:space="preserve">Solar inverters experience two distinct cycling regimes that both contribute to bond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Cycle Type</w:t>
            </w:r>
          </w:p>
        </w:tc>
        <w:tc>
          <w:tcPr>
            <w:tcW w:type="dxa" w:w="2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Trigger</w:t>
            </w:r>
          </w:p>
        </w:tc>
        <w:tc>
          <w:tcPr>
            <w:tcW w:type="dxa" w:w="2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Frequency in Tropical Conditions</w:t>
            </w:r>
          </w:p>
        </w:tc>
        <w:tc>
          <w:tcPr>
            <w:tcW w:type="dxa" w:w="23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Fatigue Contribution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Daily macro cycle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Sunrise / sunset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 per day → ~365/year</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Large temperature swing (Δ ≈ 40–60 °C)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Cloud-passage micro cycle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Cloud shadow on irradiance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20–50 per day → ~10,000+/year</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Smaller swing (Δ ≈ 10–25 °C) but high count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Switching cycle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Inverter PWM at 2–8 kHz</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Billions per year</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Negligible bond fatigue (tiny ΔT per switch)</w:t>
            </w:r>
          </w:p>
        </w:tc>
      </w:tr>
    </w:tbl>
    <w:p>
      <w:pPr>
        <w:spacing w:after="80"/>
      </w:pPr>
      <w:r>
        <w:t xml:space="preserve"/>
      </w:r>
    </w:p>
    <w:p>
      <w:pPr>
        <w:spacing w:after="100"/>
      </w:pPr>
      <w:r>
        <w:t xml:space="preserve">The cumulative damage from these cycles follows a power-law relationship — micro-cycles contribute much less per cycle than macro-cycles, but their high count means they are not negligible. A standard fatigue model (Coffin-Manson) gives cycles-to-failure as:</w:t>
      </w:r>
    </w:p>
    <w:p>
      <w:pPr>
        <w:shd w:fill="F4F4F4" w:val="clear"/>
        <w:spacing w:after="60" w:before="30"/>
        <w:ind w:left="360"/>
      </w:pPr>
      <w:r>
        <w:rPr>
          <w:rFonts w:ascii="Consolas" w:cs="Consolas" w:eastAsia="Consolas" w:hAnsi="Consolas"/>
          <w:sz w:val="20"/>
          <w:szCs w:val="20"/>
        </w:rPr>
        <w:t xml:space="preserve">N_failure ∝ (ΔT)^(-n)   where n typically 4–6 for aluminum bonds</w:t>
      </w:r>
    </w:p>
    <w:p>
      <w:pPr>
        <w:spacing w:after="80"/>
      </w:pPr>
      <w:r>
        <w:t xml:space="preserve"/>
      </w:r>
    </w:p>
    <w:p>
      <w:pPr>
        <w:spacing w:after="100"/>
      </w:pPr>
      <w:r>
        <w:t xml:space="preserve">Doubling the temperature swing reduces cycles-to-failure by 16x to 64x. This is why operating profiles that minimize peak-to-peak temperature swings extend IGBT life dramatically. It also explains why partial-load operation is harder than continuous full-load operation — partial load with frequent transitions creates the thermal swings that wear bonds, while steady operation at any load is relatively gentle.</w:t>
      </w:r>
    </w:p>
    <w:p>
      <w:pPr>
        <w:pStyle w:val="Heading2"/>
        <w:spacing w:after="160" w:before="280"/>
      </w:pPr>
      <w:r>
        <w:t xml:space="preserve">2.2 Solder Fatigue</w:t>
      </w:r>
    </w:p>
    <w:p>
      <w:pPr>
        <w:pStyle w:val="Heading3"/>
        <w:spacing w:after="120" w:before="220"/>
      </w:pPr>
      <w:r>
        <w:t xml:space="preserve">2.2.1 The Mechanism</w:t>
      </w:r>
    </w:p>
    <w:p>
      <w:pPr>
        <w:spacing w:after="100"/>
      </w:pPr>
      <w:r>
        <w:t xml:space="preserve">The IGBT silicon chip is soldered to a Direct Bond Copper (DBC) ceramic substrate, which is in turn soldered to a copper baseplate. These solder layers conduct heat from the chip down to the heatsink. Silicon, copper, and ceramic substrate all have different thermal expansion coefficients.</w:t>
      </w:r>
    </w:p>
    <w:p>
      <w:pPr>
        <w:spacing w:after="100"/>
      </w:pPr>
      <w:r>
        <w:t xml:space="preserve">During each thermal cycle, the solder layers are sheared by the differential expansion of the materials they bond. Over many cycles, voids form in the solder, then grow into cracks, then propagate until the solder layer is mostly delaminated.</w:t>
      </w:r>
    </w:p>
    <w:p>
      <w:pPr>
        <w:spacing w:after="100"/>
      </w:pPr>
      <w:r>
        <w:t xml:space="preserve">As the solder degrades, the thermal resistance from chip to heatsink increases. The chip runs hotter for the same load current, accelerating its own degradation. Once thermal runaway starts, failure typically follows within months.</w:t>
      </w:r>
    </w:p>
    <w:p>
      <w:pPr>
        <w:pStyle w:val="Heading3"/>
        <w:spacing w:after="120" w:before="220"/>
      </w:pPr>
      <w:r>
        <w:t xml:space="preserve">2.2.2 Detection Window</w:t>
      </w:r>
    </w:p>
    <w:p>
      <w:pPr>
        <w:spacing w:after="100"/>
      </w:pPr>
      <w:r>
        <w:t xml:space="preserve">Solder fatigue is more gradual than bond fatigue and produces a measurable signature: rising operating temperature for the same load. This makes it the most monitorable of the three failure mechanisms. The INGETEAM Modbus register 30072 (power electronics temperature) is the primary observable.</w:t>
      </w:r>
    </w:p>
    <w:p>
      <w:pPr>
        <w:pStyle w:val="Heading2"/>
        <w:spacing w:after="160" w:before="280"/>
      </w:pPr>
      <w:r>
        <w:t xml:space="preserve">2.3 Gate Oxide Wear-out</w:t>
      </w:r>
    </w:p>
    <w:p>
      <w:pPr>
        <w:pStyle w:val="Heading3"/>
        <w:spacing w:after="120" w:before="220"/>
      </w:pPr>
      <w:r>
        <w:t xml:space="preserve">2.3.1 The Mechanism</w:t>
      </w:r>
    </w:p>
    <w:p>
      <w:pPr>
        <w:spacing w:after="100"/>
      </w:pPr>
      <w:r>
        <w:t xml:space="preserve">The IGBT switches by applying a small voltage to its gate, which is separated from the silicon by an extremely thin (10–100 nm) silicon dioxide insulating layer. Over hundreds of millions to billions of switching cycles, the oxide accumulates damage from charge carriers tunneling through under high field stress.</w:t>
      </w:r>
    </w:p>
    <w:p>
      <w:pPr>
        <w:spacing w:after="100"/>
      </w:pPr>
      <w:r>
        <w:t xml:space="preserve">Eventually, one of two failure modes occurs:</w:t>
      </w:r>
    </w:p>
    <w:p>
      <w:pPr>
        <w:pStyle w:val="ListParagraph"/>
        <w:numPr>
          <w:ilvl w:val="0"/>
          <w:numId w:val="2"/>
        </w:numPr>
        <w:spacing w:after="60"/>
      </w:pPr>
      <w:r>
        <w:t xml:space="preserve">Gate leakage — the oxide allows current to leak from gate to source/drain, causing the device to switch unreliably or get stuck in an intermediate state</w:t>
      </w:r>
    </w:p>
    <w:p>
      <w:pPr>
        <w:pStyle w:val="ListParagraph"/>
        <w:numPr>
          <w:ilvl w:val="0"/>
          <w:numId w:val="2"/>
        </w:numPr>
        <w:spacing w:after="60"/>
      </w:pPr>
      <w:r>
        <w:t xml:space="preserve">Gate breakdown — a short-circuit path forms through the oxide, immediately destroying the device</w:t>
      </w:r>
    </w:p>
    <w:p>
      <w:pPr>
        <w:pStyle w:val="Heading3"/>
        <w:spacing w:after="120" w:before="220"/>
      </w:pPr>
      <w:r>
        <w:t xml:space="preserve">2.3.2 Relevance in Solar Inverters</w:t>
      </w:r>
    </w:p>
    <w:p>
      <w:pPr>
        <w:spacing w:after="100"/>
      </w:pPr>
      <w:r>
        <w:t xml:space="preserve">Gate oxide wear-out is typically NOT the limiting failure mechanism for solar inverters with moderate switching frequencies. Bond wire fatigue and solder fatigue almost always reach end-of-life first because thermal cycling stresses are so much more aggressive than gate switching stresses in this application.</w:t>
      </w:r>
    </w:p>
    <w:p>
      <w:pPr>
        <w:spacing w:after="100"/>
      </w:pPr>
      <w:r>
        <w:t xml:space="preserve">However, gate oxide is the limiting factor in:</w:t>
      </w:r>
    </w:p>
    <w:p>
      <w:pPr>
        <w:pStyle w:val="ListParagraph"/>
        <w:numPr>
          <w:ilvl w:val="0"/>
          <w:numId w:val="2"/>
        </w:numPr>
        <w:spacing w:after="60"/>
      </w:pPr>
      <w:r>
        <w:t xml:space="preserve">Very high switching frequency applications (&gt;20 kHz)</w:t>
      </w:r>
    </w:p>
    <w:p>
      <w:pPr>
        <w:pStyle w:val="ListParagraph"/>
        <w:numPr>
          <w:ilvl w:val="0"/>
          <w:numId w:val="2"/>
        </w:numPr>
        <w:spacing w:after="60"/>
      </w:pPr>
      <w:r>
        <w:t xml:space="preserve">Inverters with poor gate driver design causing voltage spikes on the gate</w:t>
      </w:r>
    </w:p>
    <w:p>
      <w:pPr>
        <w:pStyle w:val="ListParagraph"/>
        <w:numPr>
          <w:ilvl w:val="0"/>
          <w:numId w:val="2"/>
        </w:numPr>
        <w:spacing w:after="60"/>
      </w:pPr>
      <w:r>
        <w:t xml:space="preserve">Older silicon technologies where oxide quality was less mature</w:t>
      </w:r>
    </w:p>
    <w:p>
      <w:r>
        <w:br w:type="page"/>
      </w:r>
    </w:p>
    <w:p>
      <w:pPr>
        <w:pStyle w:val="Heading2"/>
        <w:spacing w:after="160" w:before="280"/>
      </w:pPr>
      <w:r>
        <w:t xml:space="preserve">2.4 Failure Mode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Mechanism</w:t>
            </w:r>
          </w:p>
        </w:tc>
        <w:tc>
          <w:tcPr>
            <w:tcW w:type="dxa" w:w="2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Driver</w:t>
            </w:r>
          </w:p>
        </w:tc>
        <w:tc>
          <w:tcPr>
            <w:tcW w:type="dxa" w:w="22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Solar Inverter Relevance</w:t>
            </w:r>
          </w:p>
        </w:tc>
        <w:tc>
          <w:tcPr>
            <w:tcW w:type="dxa" w:w="25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Detection in Modbus Telemetry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Bond wire fatigue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Thermal cycling (ΔT)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Dominant in tropical climates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Late-stage: ALARMA_FRAMA, ALARMA_PI_ANA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Solder fatigue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Thermal cycling (ΔT)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Significant — gradual degradation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Early: rising 30072 temperature trend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Gate oxide wear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Switching field stress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Usually not limiting</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Late-stage only: ALARMA_LEC_ADC, control errors</w:t>
            </w:r>
          </w:p>
        </w:tc>
      </w:tr>
    </w:tbl>
    <w:p>
      <w:pPr>
        <w:spacing w:after="80"/>
      </w:pPr>
      <w:r>
        <w:t xml:space="preserve"/>
      </w:r>
    </w:p>
    <w:p>
      <w:r>
        <w:br w:type="page"/>
      </w:r>
    </w:p>
    <w:p>
      <w:pPr>
        <w:pStyle w:val="Heading1"/>
        <w:spacing w:after="200" w:before="360"/>
      </w:pPr>
      <w:r>
        <w:t xml:space="preserve">3. Lifetime Expectations</w:t>
      </w:r>
    </w:p>
    <w:p>
      <w:pPr>
        <w:pStyle w:val="Heading2"/>
        <w:spacing w:after="160" w:before="280"/>
      </w:pPr>
      <w:r>
        <w:t xml:space="preserve">3.1 Industry Reference Lifetimes</w:t>
      </w:r>
    </w:p>
    <w:p>
      <w:pPr>
        <w:spacing w:after="100"/>
      </w:pPr>
      <w:r>
        <w:t xml:space="preserve">Manufacturers design inverter IGBT modules for specific lifetime targets, but published values vary significantly with operating conditions. The values below are typical industry references for utility-scale solar service and should be understood as expected values with substantial variance, not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rPr>
          <w:tblHeader/>
        </w:trPr>
        <w:tc>
          <w:tcPr>
            <w:tcW w:type="dxa" w:w="35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Operating Environment</w:t>
            </w:r>
          </w:p>
        </w:tc>
        <w:tc>
          <w:tcPr>
            <w:tcW w:type="dxa" w:w="2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Typical IGBT Module Lifetime</w:t>
            </w:r>
          </w:p>
        </w:tc>
        <w:tc>
          <w:tcPr>
            <w:tcW w:type="dxa" w:w="34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Notes</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Temperate climate, well-cooled, steady operation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20–25 years</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Best case — Northern European solar plants</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Continental climate, moderate cycling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18–22 years</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Mid-latitude installations</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Tropical climate, high cycling, good cooling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15–20 years</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Mindanao falls in this category</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Tropical climate, marginal cooling, frequent partial-load operation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12–17 years</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Aggressive operating envelope</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Hot desert with wide diurnal cycles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10–15 years</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Worst case — Middle East / Australian desert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E8B0" w:val="clear"/>
            <w:tcMar>
              <w:top w:type="dxa" w:w="120"/>
              <w:left w:type="dxa" w:w="200"/>
              <w:bottom w:type="dxa" w:w="120"/>
              <w:right w:type="dxa" w:w="200"/>
            </w:tcMar>
          </w:tcPr>
          <w:p>
            <w:pPr>
              <w:spacing w:after="80"/>
            </w:pPr>
            <w:r>
              <w:rPr>
                <w:b/>
                <w:bCs/>
                <w:sz w:val="22"/>
                <w:szCs w:val="22"/>
              </w:rPr>
              <w:t xml:space="preserve">Calibration to ADSI Operating Conditions</w:t>
            </w:r>
          </w:p>
          <w:p>
            <w:pPr>
              <w:spacing w:after="60"/>
            </w:pPr>
            <w:r>
              <w:rPr>
                <w:sz w:val="20"/>
                <w:szCs w:val="20"/>
              </w:rPr>
              <w:t xml:space="preserve">Digos City conditions: tropical climate (ambient 25–34 °C year-round), high humidity, moderate diurnal cycling, occasional cloud-induced micro-cycling, occasional extreme weather (typhoons, heavy monsoon).</w:t>
            </w:r>
          </w:p>
          <w:p>
            <w:pPr>
              <w:spacing w:after="60"/>
            </w:pPr>
            <w:r>
              <w:rPr>
                <w:sz w:val="20"/>
                <w:szCs w:val="20"/>
              </w:rPr>
              <w:t xml:space="preserve">Cooling: cabinet-internal forced-air cooling. Effectiveness depends on filter cleanliness, fan health, and ambient. Mt. Apo orographic effects affect site-specific irradiance variability.</w:t>
            </w:r>
          </w:p>
          <w:p>
            <w:pPr>
              <w:spacing w:after="60"/>
            </w:pPr>
            <w:r>
              <w:rPr>
                <w:sz w:val="20"/>
                <w:szCs w:val="20"/>
              </w:rPr>
              <w:t xml:space="preserve">Operating envelope assessment: solid mid-range tropical conditions. Realistic IGBT module lifetime expectation: 15–20 years from commissioning, with the upper end requiring well-maintained cooling and the lower end likely if cooling has been allowed to degrade.</w:t>
            </w:r>
          </w:p>
        </w:tc>
      </w:tr>
    </w:tbl>
    <w:p>
      <w:pPr>
        <w:pStyle w:val="Heading2"/>
        <w:spacing w:after="160" w:before="280"/>
      </w:pPr>
      <w:r>
        <w:t xml:space="preserve">3.2 The Bathtub Curve in Practice</w:t>
      </w:r>
    </w:p>
    <w:p>
      <w:pPr>
        <w:spacing w:after="100"/>
      </w:pPr>
      <w:r>
        <w:t xml:space="preserve">Power electronics failures over the asset's life follow a recognizable pattern often called the bathtub curve. The shape is universal; the timing varies with the equipment and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Phase</w:t>
            </w:r>
          </w:p>
        </w:tc>
        <w:tc>
          <w:tcPr>
            <w:tcW w:type="dxa" w:w="18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Years of Service</w:t>
            </w:r>
          </w:p>
        </w:tc>
        <w:tc>
          <w:tcPr>
            <w:tcW w:type="dxa" w:w="22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Failure Rate</w:t>
            </w:r>
          </w:p>
        </w:tc>
        <w:tc>
          <w:tcPr>
            <w:tcW w:type="dxa" w:w="35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Dominant Cause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Infant mortality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0–2</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 initially, drops rapidly</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Manufacturing defects, commissioning errors, early bond/solder failures from assembly stress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Useful life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2–12</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Low, relatively constant</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Random failures, surge events, environmental excursions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Wear-out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12+</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Rising, accelerating</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Cumulative bond fatigue, solder fatigue reaching end-of-design-life</w:t>
            </w:r>
          </w:p>
        </w:tc>
      </w:tr>
    </w:tbl>
    <w:p>
      <w:pPr>
        <w:spacing w:after="80"/>
      </w:pPr>
      <w:r>
        <w:t xml:space="preserve"/>
      </w:r>
    </w:p>
    <w:p>
      <w:pPr>
        <w:spacing w:after="100"/>
      </w:pPr>
      <w:r>
        <w:t xml:space="preserve">INGETEAM inverters from the early-to-mid 2010s are now squarely in the wear-out phase. The failure rate is no longer a flat baseline; each year forward will show more failures than the year before, until either large-scale refurbishment or replacement intervenes.</w:t>
      </w:r>
    </w:p>
    <w:p>
      <w:pPr>
        <w:pStyle w:val="Heading2"/>
        <w:spacing w:after="160" w:before="280"/>
      </w:pPr>
      <w:r>
        <w:t xml:space="preserve">3.3 The Fleet-Aging Reality</w:t>
      </w:r>
    </w:p>
    <w:p>
      <w:pPr>
        <w:spacing w:after="100"/>
      </w:pPr>
      <w:r>
        <w:t xml:space="preserve">Within a fleet of 27 cabinets and 108 modules, individual modules age at different rates due to:</w:t>
      </w:r>
    </w:p>
    <w:p>
      <w:pPr>
        <w:pStyle w:val="ListParagraph"/>
        <w:numPr>
          <w:ilvl w:val="0"/>
          <w:numId w:val="2"/>
        </w:numPr>
        <w:spacing w:after="60"/>
      </w:pPr>
      <w:r>
        <w:t xml:space="preserve">Position in the array — modules with more shading variability see more cloud-induced micro-cycles</w:t>
      </w:r>
    </w:p>
    <w:p>
      <w:pPr>
        <w:pStyle w:val="ListParagraph"/>
        <w:numPr>
          <w:ilvl w:val="0"/>
          <w:numId w:val="2"/>
        </w:numPr>
        <w:spacing w:after="60"/>
      </w:pPr>
      <w:r>
        <w:t xml:space="preserve">Cooling effectiveness — cabinets with degraded fans or clogged filters age faster</w:t>
      </w:r>
    </w:p>
    <w:p>
      <w:pPr>
        <w:pStyle w:val="ListParagraph"/>
        <w:numPr>
          <w:ilvl w:val="0"/>
          <w:numId w:val="2"/>
        </w:numPr>
        <w:spacing w:after="60"/>
      </w:pPr>
      <w:r>
        <w:t xml:space="preserve">Manufacturing variation — small differences in solder voids or bond geometry from assembly affect lifetime</w:t>
      </w:r>
    </w:p>
    <w:p>
      <w:pPr>
        <w:pStyle w:val="ListParagraph"/>
        <w:numPr>
          <w:ilvl w:val="0"/>
          <w:numId w:val="2"/>
        </w:numPr>
        <w:spacing w:after="60"/>
      </w:pPr>
      <w:r>
        <w:t xml:space="preserve">Operating history — modules that have experienced grid disturbances, surge events, or thermal excursions accumulate damage faster</w:t>
      </w:r>
    </w:p>
    <w:p>
      <w:pPr>
        <w:spacing w:after="80"/>
      </w:pPr>
      <w:r>
        <w:t xml:space="preserve"/>
      </w:r>
    </w:p>
    <w:p>
      <w:pPr>
        <w:spacing w:after="100"/>
      </w:pPr>
      <w:r>
        <w:t xml:space="preserve">As a result, the failure pattern across the fleet is NOT uniform. A few modules will fail noticeably earlier than the average; most will cluster around the expected lifetime; a few will outlast the fleet average. The first failures are signals — not anomalies. They identify the most-stressed positions in the plant and inform what to expect from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Operational Implication</w:t>
            </w:r>
          </w:p>
          <w:p>
            <w:pPr>
              <w:spacing w:after="60"/>
            </w:pPr>
            <w:r>
              <w:rPr>
                <w:sz w:val="20"/>
                <w:szCs w:val="20"/>
              </w:rPr>
              <w:t xml:space="preserve">When the first FRAMA failure occurs in a fleet, two things should happen: the failed module should be replaced, AND a fleet-wide proactive inspection should be triggered. The first failure is a forecaster of where and when the next ones will occur.</w:t>
            </w:r>
          </w:p>
          <w:p>
            <w:pPr>
              <w:spacing w:after="60"/>
            </w:pPr>
            <w:r>
              <w:rPr>
                <w:sz w:val="20"/>
                <w:szCs w:val="20"/>
              </w:rPr>
              <w:t xml:space="preserve">Plants that treat the first failure as a one-off problem, and don't initiate fleet-wide health assessment, typically experience escalating outages over the following 1–3 years.</w:t>
            </w:r>
          </w:p>
        </w:tc>
      </w:tr>
    </w:tbl>
    <w:p>
      <w:r>
        <w:br w:type="page"/>
      </w:r>
    </w:p>
    <w:p>
      <w:pPr>
        <w:pStyle w:val="Heading1"/>
        <w:spacing w:after="200" w:before="360"/>
      </w:pPr>
      <w:r>
        <w:t xml:space="preserve">4. Symptoms and Progression</w:t>
      </w:r>
    </w:p>
    <w:p>
      <w:pPr>
        <w:spacing w:after="100"/>
      </w:pPr>
      <w:r>
        <w:t xml:space="preserve">IGBT degradation produces a recognizable sequence of symptoms over time. Catching the early-stage symptoms is the difference between scheduled, planned replacement and emergency outage. This chapter maps each stage to specific Modbus observables already exposed by the INGETEAM platform.</w:t>
      </w:r>
    </w:p>
    <w:p>
      <w:pPr>
        <w:pStyle w:val="Heading2"/>
        <w:spacing w:after="160" w:before="280"/>
      </w:pPr>
      <w:r>
        <w:t xml:space="preserve">4.1 Stage 1 — Early Aging (Years Before Failure)</w:t>
      </w:r>
    </w:p>
    <w:p>
      <w:pPr>
        <w:pStyle w:val="Heading3"/>
        <w:spacing w:after="120" w:before="220"/>
      </w:pPr>
      <w:r>
        <w:t xml:space="preserve">4.1.1 Symptom: Rising Operating Temperature for the Same Load</w:t>
      </w:r>
    </w:p>
    <w:p>
      <w:pPr>
        <w:spacing w:after="100"/>
      </w:pPr>
      <w:r>
        <w:t xml:space="preserve">Solder fatigue degrades the thermal interface between the IGBT die and the heatsink. As thermal resistance rises, the die runs hotter for the same load current and ambient conditions.</w:t>
      </w:r>
    </w:p>
    <w:p>
      <w:pPr>
        <w:pStyle w:val="Heading4"/>
        <w:spacing w:after="100" w:before="180"/>
      </w:pPr>
      <w:r>
        <w:t xml:space="preserve">Modbus Observable</w:t>
      </w:r>
    </w:p>
    <w:p>
      <w:pPr>
        <w:spacing w:after="100"/>
      </w:pPr>
      <w:r>
        <w:t xml:space="preserve">Register 30072 (power electronics temperature, signed °C). Establish a baseline of typical operating temperature at known load conditions, then track year-over-year drift.</w:t>
      </w:r>
    </w:p>
    <w:p>
      <w:pPr>
        <w:pStyle w:val="Heading4"/>
        <w:spacing w:after="100" w:before="180"/>
      </w:pPr>
      <w:r>
        <w:t xml:space="preserve">Detection Method</w:t>
      </w:r>
    </w:p>
    <w:p>
      <w:pPr>
        <w:shd w:fill="F4F4F4" w:val="clear"/>
        <w:spacing w:after="60" w:before="30"/>
        <w:ind w:left="360"/>
      </w:pPr>
      <w:r>
        <w:rPr>
          <w:rFonts w:ascii="Consolas" w:cs="Consolas" w:eastAsia="Consolas" w:hAnsi="Consolas"/>
          <w:sz w:val="20"/>
          <w:szCs w:val="20"/>
        </w:rPr>
        <w:t xml:space="preserve"># Monthly thermal trend per node</w:t>
      </w:r>
    </w:p>
    <w:p>
      <w:pPr>
        <w:shd w:fill="F4F4F4" w:val="clear"/>
        <w:spacing w:after="60" w:before="30"/>
        <w:ind w:left="360"/>
      </w:pPr>
      <w:r>
        <w:rPr>
          <w:rFonts w:ascii="Consolas" w:cs="Consolas" w:eastAsia="Consolas" w:hAnsi="Consolas"/>
          <w:sz w:val="20"/>
          <w:szCs w:val="20"/>
        </w:rPr>
        <w:t xml:space="preserve"># Filter samples to consistent operating conditions:</w:t>
      </w:r>
    </w:p>
    <w:p>
      <w:pPr>
        <w:shd w:fill="F4F4F4" w:val="clear"/>
        <w:spacing w:after="60" w:before="30"/>
        <w:ind w:left="360"/>
      </w:pPr>
      <w:r>
        <w:rPr>
          <w:rFonts w:ascii="Consolas" w:cs="Consolas" w:eastAsia="Consolas" w:hAnsi="Consolas"/>
          <w:sz w:val="20"/>
          <w:szCs w:val="20"/>
        </w:rPr>
        <w:t xml:space="preserve">#   - Power output 60-80% of nominal</w:t>
      </w:r>
    </w:p>
    <w:p>
      <w:pPr>
        <w:shd w:fill="F4F4F4" w:val="clear"/>
        <w:spacing w:after="60" w:before="30"/>
        <w:ind w:left="360"/>
      </w:pPr>
      <w:r>
        <w:rPr>
          <w:rFonts w:ascii="Consolas" w:cs="Consolas" w:eastAsia="Consolas" w:hAnsi="Consolas"/>
          <w:sz w:val="20"/>
          <w:szCs w:val="20"/>
        </w:rPr>
        <w:t xml:space="preserve">#   - Ambient temp 28-32 °C</w:t>
      </w:r>
    </w:p>
    <w:p>
      <w:pPr>
        <w:shd w:fill="F4F4F4" w:val="clear"/>
        <w:spacing w:after="60" w:before="30"/>
        <w:ind w:left="360"/>
      </w:pPr>
      <w:r>
        <w:rPr>
          <w:rFonts w:ascii="Consolas" w:cs="Consolas" w:eastAsia="Consolas" w:hAnsi="Consolas"/>
          <w:sz w:val="20"/>
          <w:szCs w:val="20"/>
        </w:rPr>
        <w:t xml:space="preserve">#   - Sustained for at least 30 minutes</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baseline_year_1 = mean(samples where conditions match)</w:t>
      </w:r>
    </w:p>
    <w:p>
      <w:pPr>
        <w:shd w:fill="F4F4F4" w:val="clear"/>
        <w:spacing w:after="60" w:before="30"/>
        <w:ind w:left="360"/>
      </w:pPr>
      <w:r>
        <w:rPr>
          <w:rFonts w:ascii="Consolas" w:cs="Consolas" w:eastAsia="Consolas" w:hAnsi="Consolas"/>
          <w:sz w:val="20"/>
          <w:szCs w:val="20"/>
        </w:rPr>
        <w:t xml:space="preserve">baseline_year_2 = mean(samples where conditions match)</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delta = baseline_year_2 - baseline_year_1</w:t>
      </w:r>
    </w:p>
    <w:p>
      <w:pPr>
        <w:shd w:fill="F4F4F4" w:val="clear"/>
        <w:spacing w:after="60" w:before="30"/>
        <w:ind w:left="360"/>
      </w:pPr>
      <w:r>
        <w:rPr>
          <w:rFonts w:ascii="Consolas" w:cs="Consolas" w:eastAsia="Consolas" w:hAnsi="Consolas"/>
          <w:sz w:val="20"/>
          <w:szCs w:val="20"/>
        </w:rPr>
        <w:t xml:space="preserve">if delta &gt; 3:    # 3 °C warning threshold</w:t>
      </w:r>
    </w:p>
    <w:p>
      <w:pPr>
        <w:shd w:fill="F4F4F4" w:val="clear"/>
        <w:spacing w:after="60" w:before="30"/>
        <w:ind w:left="360"/>
      </w:pPr>
      <w:r>
        <w:rPr>
          <w:rFonts w:ascii="Consolas" w:cs="Consolas" w:eastAsia="Consolas" w:hAnsi="Consolas"/>
          <w:sz w:val="20"/>
          <w:szCs w:val="20"/>
        </w:rPr>
        <w:t xml:space="preserve">    flag('Thermal aging detected on node X')</w:t>
      </w:r>
    </w:p>
    <w:p>
      <w:pPr>
        <w:pStyle w:val="Heading4"/>
        <w:spacing w:after="100" w:before="180"/>
      </w:pPr>
      <w:r>
        <w:t xml:space="preserve">Significance</w:t>
      </w:r>
    </w:p>
    <w:p>
      <w:pPr>
        <w:spacing w:after="100"/>
      </w:pPr>
      <w:r>
        <w:t xml:space="preserve">A 3–5 °C rise per year is a meaningful aging signal. A node that has crept up 10 °C over its operating life is in late-stage thermal degradation and should be on a replacement priority list.</w:t>
      </w:r>
    </w:p>
    <w:p>
      <w:pPr>
        <w:spacing w:after="80"/>
      </w:pPr>
      <w:r>
        <w:t xml:space="preserve"/>
      </w:r>
    </w:p>
    <w:p>
      <w:pPr>
        <w:pStyle w:val="Heading3"/>
        <w:spacing w:after="120" w:before="220"/>
      </w:pPr>
      <w:r>
        <w:t xml:space="preserve">4.1.2 Symptom: Reduced Conversion Efficiency</w:t>
      </w:r>
    </w:p>
    <w:p>
      <w:pPr>
        <w:spacing w:after="100"/>
      </w:pPr>
      <w:r>
        <w:t xml:space="preserve">As switching losses and conduction losses increase due to bond wire degradation, the inverter efficiency decreases slightly. This appears as a small reduction in AC output power for the same DC input power.</w:t>
      </w:r>
    </w:p>
    <w:p>
      <w:pPr>
        <w:pStyle w:val="Heading4"/>
        <w:spacing w:after="100" w:before="180"/>
      </w:pPr>
      <w:r>
        <w:t xml:space="preserve">Modbus Observable</w:t>
      </w:r>
    </w:p>
    <w:p>
      <w:pPr>
        <w:spacing w:after="100"/>
      </w:pPr>
      <w:r>
        <w:t xml:space="preserve">Compare DC input power (computed from registers 30009 Vdc × 30010 Idc) to AC output power (register 30019 × 10). Trend the DC-to-AC conversion ratio over months or years.</w:t>
      </w:r>
    </w:p>
    <w:p>
      <w:pPr>
        <w:pStyle w:val="Heading4"/>
        <w:spacing w:after="100" w:before="180"/>
      </w:pPr>
      <w:r>
        <w:t xml:space="preserve">Significance</w:t>
      </w:r>
    </w:p>
    <w:p>
      <w:pPr>
        <w:spacing w:after="100"/>
      </w:pPr>
      <w:r>
        <w:t xml:space="preserve">Efficiency drops of 0.3–0.5% are noise; drops of 1–2% across multiple years are aging signals. This is a subtle indicator and harder to monitor reliably than direct temperature measurement, but it captures cumulative aging across all loss mechanisms.</w:t>
      </w:r>
    </w:p>
    <w:p>
      <w:r>
        <w:br w:type="page"/>
      </w:r>
    </w:p>
    <w:p>
      <w:pPr>
        <w:pStyle w:val="Heading2"/>
        <w:spacing w:after="160" w:before="280"/>
      </w:pPr>
      <w:r>
        <w:t xml:space="preserve">4.2 Stage 2 — Mid-Stage Aging (Months to Years Before Failure)</w:t>
      </w:r>
    </w:p>
    <w:p>
      <w:pPr>
        <w:pStyle w:val="Heading3"/>
        <w:spacing w:after="120" w:before="220"/>
      </w:pPr>
      <w:r>
        <w:t xml:space="preserve">4.2.1 Symptom: Occasional Thermal Trips</w:t>
      </w:r>
    </w:p>
    <w:p>
      <w:pPr>
        <w:spacing w:after="100"/>
      </w:pPr>
      <w:r>
        <w:t xml:space="preserve">Once thermal degradation has progressed enough, hot days or sustained high-output operation can push the die above the protection threshold (typically 80 °C heatsink for INGETEAM units). The unit trips on ALARMA_TEMPERATURA but recovers and returns to service.</w:t>
      </w:r>
    </w:p>
    <w:p>
      <w:pPr>
        <w:pStyle w:val="Heading4"/>
        <w:spacing w:after="100" w:before="180"/>
      </w:pPr>
      <w:r>
        <w:t xml:space="preserve">Modbus Observables</w:t>
      </w:r>
    </w:p>
    <w:p>
      <w:pPr>
        <w:pStyle w:val="ListParagraph"/>
        <w:numPr>
          <w:ilvl w:val="0"/>
          <w:numId w:val="2"/>
        </w:numPr>
        <w:spacing w:after="60"/>
      </w:pPr>
      <w:r>
        <w:rPr>
          <w:sz w:val="20"/>
          <w:szCs w:val="20"/>
        </w:rPr>
        <w:t xml:space="preserve">Register 30067/30068 — alarm word with bit </w:t>
      </w:r>
      <w:r>
        <w:rPr>
          <w:rFonts w:ascii="Consolas" w:cs="Consolas" w:eastAsia="Consolas" w:hAnsi="Consolas"/>
          <w:sz w:val="20"/>
          <w:szCs w:val="20"/>
        </w:rPr>
        <w:t xml:space="preserve">0x0020</w:t>
      </w:r>
      <w:r>
        <w:rPr>
          <w:sz w:val="20"/>
          <w:szCs w:val="20"/>
        </w:rPr>
        <w:t xml:space="preserve"> set (ALARMA_TEMPERATURA)</w:t>
      </w:r>
    </w:p>
    <w:p>
      <w:pPr>
        <w:pStyle w:val="ListParagraph"/>
        <w:numPr>
          <w:ilvl w:val="0"/>
          <w:numId w:val="2"/>
        </w:numPr>
        <w:spacing w:after="60"/>
      </w:pPr>
      <w:r>
        <w:rPr>
          <w:sz w:val="20"/>
          <w:szCs w:val="20"/>
        </w:rPr>
        <w:t xml:space="preserve">Register 30084 (and history slots 30090, 30096, 30102, 30108) — stop reason </w:t>
      </w:r>
      <w:r>
        <w:rPr>
          <w:rFonts w:ascii="Consolas" w:cs="Consolas" w:eastAsia="Consolas" w:hAnsi="Consolas"/>
          <w:sz w:val="20"/>
          <w:szCs w:val="20"/>
        </w:rPr>
        <w:t xml:space="preserve">7</w:t>
      </w:r>
      <w:r>
        <w:rPr>
          <w:sz w:val="20"/>
          <w:szCs w:val="20"/>
        </w:rPr>
        <w:t xml:space="preserve"> (MOTIVO_PARO_TEMPERATURA)</w:t>
      </w:r>
    </w:p>
    <w:p>
      <w:pPr>
        <w:pStyle w:val="ListParagraph"/>
        <w:numPr>
          <w:ilvl w:val="0"/>
          <w:numId w:val="2"/>
        </w:numPr>
        <w:spacing w:after="60"/>
      </w:pPr>
      <w:r>
        <w:t xml:space="preserve">Register 30072 — peak temperature observed in the trip event</w:t>
      </w:r>
    </w:p>
    <w:p>
      <w:pPr>
        <w:pStyle w:val="Heading4"/>
        <w:spacing w:after="100" w:before="180"/>
      </w:pPr>
      <w:r>
        <w:t xml:space="preserve">Pattern to Watch</w:t>
      </w:r>
    </w:p>
    <w:p>
      <w:pPr>
        <w:spacing w:after="100"/>
      </w:pPr>
      <w:r>
        <w:t xml:space="preserve">A node going from zero thermal trips historically to occasional trips in the past year is showing clear thermal degradation. The same node will likely produce more trips in the following year, then more again, until a major thermal event or branch failure occurs.</w:t>
      </w:r>
    </w:p>
    <w:p>
      <w:pPr>
        <w:pStyle w:val="Heading3"/>
        <w:spacing w:after="120" w:before="220"/>
      </w:pPr>
      <w:r>
        <w:t xml:space="preserve">4.2.2 Symptom: Current Control Loop Anomalies</w:t>
      </w:r>
    </w:p>
    <w:p>
      <w:pPr>
        <w:spacing w:after="100"/>
      </w:pPr>
      <w:r>
        <w:t xml:space="preserve">As bond wires degrade, individual IGBT chips within a parallel group carry slightly different currents. The current control loop attempts to regulate the total branch current, but the imbalance causes the loop to operate near saturation. Eventually the controller cannot maintain regulation and trips.</w:t>
      </w:r>
    </w:p>
    <w:p>
      <w:pPr>
        <w:pStyle w:val="Heading4"/>
        <w:spacing w:after="100" w:before="180"/>
      </w:pPr>
      <w:r>
        <w:t xml:space="preserve">Modbus Observables</w:t>
      </w:r>
    </w:p>
    <w:p>
      <w:pPr>
        <w:pStyle w:val="ListParagraph"/>
        <w:numPr>
          <w:ilvl w:val="0"/>
          <w:numId w:val="2"/>
        </w:numPr>
        <w:spacing w:after="60"/>
      </w:pPr>
      <w:r>
        <w:rPr>
          <w:sz w:val="20"/>
          <w:szCs w:val="20"/>
        </w:rPr>
        <w:t xml:space="preserve">Alarm bit </w:t>
      </w:r>
      <w:r>
        <w:rPr>
          <w:rFonts w:ascii="Consolas" w:cs="Consolas" w:eastAsia="Consolas" w:hAnsi="Consolas"/>
          <w:sz w:val="20"/>
          <w:szCs w:val="20"/>
        </w:rPr>
        <w:t xml:space="preserve">0x0004</w:t>
      </w:r>
      <w:r>
        <w:rPr>
          <w:sz w:val="20"/>
          <w:szCs w:val="20"/>
        </w:rPr>
        <w:t xml:space="preserve"> (ALARMA_PI_ANA) — current PI saturation</w:t>
      </w:r>
    </w:p>
    <w:p>
      <w:pPr>
        <w:pStyle w:val="ListParagraph"/>
        <w:numPr>
          <w:ilvl w:val="0"/>
          <w:numId w:val="2"/>
        </w:numPr>
        <w:spacing w:after="60"/>
      </w:pPr>
      <w:r>
        <w:rPr>
          <w:sz w:val="20"/>
          <w:szCs w:val="20"/>
        </w:rPr>
        <w:t xml:space="preserve">Stop reason </w:t>
      </w:r>
      <w:r>
        <w:rPr>
          <w:rFonts w:ascii="Consolas" w:cs="Consolas" w:eastAsia="Consolas" w:hAnsi="Consolas"/>
          <w:sz w:val="20"/>
          <w:szCs w:val="20"/>
        </w:rPr>
        <w:t xml:space="preserve">26</w:t>
      </w:r>
      <w:r>
        <w:rPr>
          <w:sz w:val="20"/>
          <w:szCs w:val="20"/>
        </w:rPr>
        <w:t xml:space="preserve"> (MOTIVO_PARO_PI_ANA_SAT)</w:t>
      </w:r>
    </w:p>
    <w:p>
      <w:pPr>
        <w:pStyle w:val="Heading4"/>
        <w:spacing w:after="100" w:before="180"/>
      </w:pPr>
      <w:r>
        <w:t xml:space="preserve">Significance</w:t>
      </w:r>
    </w:p>
    <w:p>
      <w:pPr>
        <w:spacing w:after="100"/>
      </w:pPr>
      <w:r>
        <w:t xml:space="preserve">PI_ANA trips on a previously-clean node are a meaningful warning. Unlike thermal trips which can be caused by environmental factors (clogged filter, fan failure), PI_ANA trips usually indicate something is wrong inside the power module itself.</w:t>
      </w:r>
    </w:p>
    <w:p>
      <w:pPr>
        <w:pStyle w:val="Heading3"/>
        <w:spacing w:after="120" w:before="220"/>
      </w:pPr>
      <w:r>
        <w:t xml:space="preserve">4.2.3 Symptom: Phase Imbalance</w:t>
      </w:r>
    </w:p>
    <w:p>
      <w:pPr>
        <w:spacing w:after="100"/>
      </w:pPr>
      <w:r>
        <w:t xml:space="preserve">When one of the three branches degrades faster than the others, the phase currents become slightly imbalanced. This is observable in the per-phase RMS current registers and is often the most intuitive symptom for field engineers to spot.</w:t>
      </w:r>
    </w:p>
    <w:p>
      <w:pPr>
        <w:pStyle w:val="Heading4"/>
        <w:spacing w:after="100" w:before="180"/>
      </w:pPr>
      <w:r>
        <w:t xml:space="preserve">Modbus Observables</w:t>
      </w:r>
    </w:p>
    <w:p>
      <w:pPr>
        <w:pStyle w:val="ListParagraph"/>
        <w:numPr>
          <w:ilvl w:val="0"/>
          <w:numId w:val="2"/>
        </w:numPr>
        <w:spacing w:after="60"/>
      </w:pPr>
      <w:r>
        <w:t xml:space="preserve">Registers 30014, 30015, 30016 (Iac1, Iac2, Iac3 phase currents)</w:t>
      </w:r>
    </w:p>
    <w:p>
      <w:pPr>
        <w:pStyle w:val="ListParagraph"/>
        <w:numPr>
          <w:ilvl w:val="0"/>
          <w:numId w:val="2"/>
        </w:numPr>
        <w:spacing w:after="60"/>
      </w:pPr>
      <w:r>
        <w:t xml:space="preserve">Compare across phases on the same node — should normally agree within 1–2% under balanced grid</w:t>
      </w:r>
    </w:p>
    <w:p>
      <w:pPr>
        <w:pStyle w:val="Heading4"/>
        <w:spacing w:after="100" w:before="180"/>
      </w:pPr>
      <w:r>
        <w:t xml:space="preserve">Detection Method</w:t>
      </w:r>
    </w:p>
    <w:p>
      <w:pPr>
        <w:shd w:fill="F4F4F4" w:val="clear"/>
        <w:spacing w:after="60" w:before="30"/>
        <w:ind w:left="360"/>
      </w:pPr>
      <w:r>
        <w:rPr>
          <w:rFonts w:ascii="Consolas" w:cs="Consolas" w:eastAsia="Consolas" w:hAnsi="Consolas"/>
          <w:sz w:val="20"/>
          <w:szCs w:val="20"/>
        </w:rPr>
        <w:t xml:space="preserve"># Per-node phase imbalance check</w:t>
      </w:r>
    </w:p>
    <w:p>
      <w:pPr>
        <w:shd w:fill="F4F4F4" w:val="clear"/>
        <w:spacing w:after="60" w:before="30"/>
        <w:ind w:left="360"/>
      </w:pPr>
      <w:r>
        <w:rPr>
          <w:rFonts w:ascii="Consolas" w:cs="Consolas" w:eastAsia="Consolas" w:hAnsi="Consolas"/>
          <w:sz w:val="20"/>
          <w:szCs w:val="20"/>
        </w:rPr>
        <w:t xml:space="preserve">i1 = read_input(node, 30014)</w:t>
      </w:r>
    </w:p>
    <w:p>
      <w:pPr>
        <w:shd w:fill="F4F4F4" w:val="clear"/>
        <w:spacing w:after="60" w:before="30"/>
        <w:ind w:left="360"/>
      </w:pPr>
      <w:r>
        <w:rPr>
          <w:rFonts w:ascii="Consolas" w:cs="Consolas" w:eastAsia="Consolas" w:hAnsi="Consolas"/>
          <w:sz w:val="20"/>
          <w:szCs w:val="20"/>
        </w:rPr>
        <w:t xml:space="preserve">i2 = read_input(node, 30015)</w:t>
      </w:r>
    </w:p>
    <w:p>
      <w:pPr>
        <w:shd w:fill="F4F4F4" w:val="clear"/>
        <w:spacing w:after="60" w:before="30"/>
        <w:ind w:left="360"/>
      </w:pPr>
      <w:r>
        <w:rPr>
          <w:rFonts w:ascii="Consolas" w:cs="Consolas" w:eastAsia="Consolas" w:hAnsi="Consolas"/>
          <w:sz w:val="20"/>
          <w:szCs w:val="20"/>
        </w:rPr>
        <w:t xml:space="preserve">i3 = read_input(node, 30016)</w:t>
      </w:r>
    </w:p>
    <w:p>
      <w:pPr>
        <w:shd w:fill="F4F4F4" w:val="clear"/>
        <w:spacing w:after="60" w:before="30"/>
        <w:ind w:left="360"/>
      </w:pPr>
      <w:r>
        <w:rPr>
          <w:rFonts w:ascii="Consolas" w:cs="Consolas" w:eastAsia="Consolas" w:hAnsi="Consolas"/>
          <w:sz w:val="20"/>
          <w:szCs w:val="20"/>
        </w:rPr>
        <w:t xml:space="preserve">avg = (i1 + i2 + i3) / 3</w:t>
      </w:r>
    </w:p>
    <w:p>
      <w:pPr>
        <w:shd w:fill="F4F4F4" w:val="clear"/>
        <w:spacing w:after="60" w:before="30"/>
        <w:ind w:left="360"/>
      </w:pPr>
      <w:r>
        <w:rPr>
          <w:rFonts w:ascii="Consolas" w:cs="Consolas" w:eastAsia="Consolas" w:hAnsi="Consolas"/>
          <w:sz w:val="20"/>
          <w:szCs w:val="20"/>
        </w:rPr>
        <w:t xml:space="preserve">max_dev = max(abs(i1-avg), abs(i2-avg), abs(i3-avg))</w:t>
      </w:r>
    </w:p>
    <w:p>
      <w:pPr>
        <w:shd w:fill="F4F4F4" w:val="clear"/>
        <w:spacing w:after="60" w:before="30"/>
        <w:ind w:left="360"/>
      </w:pPr>
      <w:r>
        <w:rPr>
          <w:rFonts w:ascii="Consolas" w:cs="Consolas" w:eastAsia="Consolas" w:hAnsi="Consolas"/>
          <w:sz w:val="20"/>
          <w:szCs w:val="20"/>
        </w:rPr>
        <w:t xml:space="preserve">imbalance_pct = max_dev / avg * 100</w:t>
      </w:r>
    </w:p>
    <w:p>
      <w:pPr>
        <w:shd w:fill="F4F4F4" w:val="clear"/>
        <w:spacing w:after="60" w:before="30"/>
        <w:ind w:left="360"/>
      </w:pPr>
      <w:r>
        <w:rPr>
          <w:rFonts w:ascii="Consolas" w:cs="Consolas" w:eastAsia="Consolas" w:hAnsi="Consolas"/>
          <w:sz w:val="20"/>
          <w:szCs w:val="20"/>
        </w:rPr>
        <w:t xml:space="preserve">if imbalance_pct &gt; 5:</w:t>
      </w:r>
    </w:p>
    <w:p>
      <w:pPr>
        <w:shd w:fill="F4F4F4" w:val="clear"/>
        <w:spacing w:after="60" w:before="30"/>
        <w:ind w:left="360"/>
      </w:pPr>
      <w:r>
        <w:rPr>
          <w:rFonts w:ascii="Consolas" w:cs="Consolas" w:eastAsia="Consolas" w:hAnsi="Consolas"/>
          <w:sz w:val="20"/>
          <w:szCs w:val="20"/>
        </w:rPr>
        <w:t xml:space="preserve">    flag(f'Phase imbalance on node: {imbalance_pct:.1f}%')</w:t>
      </w:r>
    </w:p>
    <w:p>
      <w:r>
        <w:br w:type="page"/>
      </w:r>
    </w:p>
    <w:p>
      <w:pPr>
        <w:pStyle w:val="Heading2"/>
        <w:spacing w:after="160" w:before="280"/>
      </w:pPr>
      <w:r>
        <w:t xml:space="preserve">4.3 Stage 3 — Late-Stage Aging (Weeks to Months Before Failure)</w:t>
      </w:r>
    </w:p>
    <w:p>
      <w:pPr>
        <w:pStyle w:val="Heading3"/>
        <w:spacing w:after="120" w:before="220"/>
      </w:pPr>
      <w:r>
        <w:t xml:space="preserve">4.3.1 Symptom: FRAMA — Branch Failure Alarm</w:t>
      </w:r>
    </w:p>
    <w:p>
      <w:pPr>
        <w:spacing w:after="100"/>
      </w:pPr>
      <w:r>
        <w:t xml:space="preserve">This is the unambiguous late-stage warning. ALARMA_FRAMA fires when the inverter's internal protection logic detects that one of the three branches (phases) is no longer behaving correctly — typically a desaturation event indicating that one or more IGBTs in a half-bridge has failed to switch properly.</w:t>
      </w:r>
    </w:p>
    <w:p>
      <w:pPr>
        <w:pStyle w:val="Heading4"/>
        <w:spacing w:after="100" w:before="180"/>
      </w:pPr>
      <w:r>
        <w:t xml:space="preserve">Modbus Observables</w:t>
      </w:r>
    </w:p>
    <w:p>
      <w:pPr>
        <w:pStyle w:val="ListParagraph"/>
        <w:numPr>
          <w:ilvl w:val="0"/>
          <w:numId w:val="2"/>
        </w:numPr>
        <w:spacing w:after="60"/>
      </w:pPr>
      <w:r>
        <w:rPr>
          <w:sz w:val="20"/>
          <w:szCs w:val="20"/>
        </w:rPr>
        <w:t xml:space="preserve">Alarm bit </w:t>
      </w:r>
      <w:r>
        <w:rPr>
          <w:rFonts w:ascii="Consolas" w:cs="Consolas" w:eastAsia="Consolas" w:hAnsi="Consolas"/>
          <w:sz w:val="20"/>
          <w:szCs w:val="20"/>
        </w:rPr>
        <w:t xml:space="preserve">0x0800</w:t>
      </w:r>
      <w:r>
        <w:rPr>
          <w:sz w:val="20"/>
          <w:szCs w:val="20"/>
        </w:rPr>
        <w:t xml:space="preserve"> (ALARMA_FRAMA)</w:t>
      </w:r>
    </w:p>
    <w:p>
      <w:pPr>
        <w:pStyle w:val="ListParagraph"/>
        <w:numPr>
          <w:ilvl w:val="0"/>
          <w:numId w:val="2"/>
        </w:numPr>
        <w:spacing w:after="60"/>
      </w:pPr>
      <w:r>
        <w:t xml:space="preserve">Stop reason 13 (FRAMA3 — Branch 3), 29 (FRAMA1 — Branch 1), or 30 (FRAMA2 — Branch 2)</w:t>
      </w:r>
    </w:p>
    <w:p>
      <w:pPr>
        <w:pStyle w:val="ListParagraph"/>
        <w:numPr>
          <w:ilvl w:val="0"/>
          <w:numId w:val="2"/>
        </w:numPr>
        <w:spacing w:after="60"/>
      </w:pPr>
      <w:r>
        <w:t xml:space="preserve">The specific branch number tells you which phase is in trouble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FRAMA is a loud alarm — treat it that way</w:t>
            </w:r>
          </w:p>
          <w:p>
            <w:pPr>
              <w:spacing w:after="60"/>
            </w:pPr>
            <w:r>
              <w:rPr>
                <w:sz w:val="20"/>
                <w:szCs w:val="20"/>
              </w:rPr>
              <w:t xml:space="preserve">A single FRAMA event on a node that has never had one before is a clear signal that branch is approaching end-of-life. Repeated FRAMA events on the same branch number escalate the urgency dramatically.</w:t>
            </w:r>
          </w:p>
          <w:p>
            <w:pPr>
              <w:spacing w:after="60"/>
            </w:pPr>
            <w:r>
              <w:rPr>
                <w:sz w:val="20"/>
                <w:szCs w:val="20"/>
              </w:rPr>
              <w:t xml:space="preserve">Recommended action on first FRAMA event: schedule a controlled maintenance shutdown for that node within 30 days, conduct a thorough inspection (visual, thermography, electrical test), and decide whether to operate-to-failure with a spare module on hand or to replace proactively.</w:t>
            </w:r>
          </w:p>
          <w:p>
            <w:pPr>
              <w:spacing w:after="60"/>
            </w:pPr>
            <w:r>
              <w:rPr>
                <w:sz w:val="20"/>
                <w:szCs w:val="20"/>
              </w:rPr>
              <w:t xml:space="preserve">Do NOT simply restart the unit and continue operating without investigation. The next FRAMA event may be the catastrophic one.</w:t>
            </w:r>
          </w:p>
        </w:tc>
      </w:tr>
    </w:tbl>
    <w:p>
      <w:pPr>
        <w:pStyle w:val="Heading3"/>
        <w:spacing w:after="120" w:before="220"/>
      </w:pPr>
      <w:r>
        <w:t xml:space="preserve">4.3.2 Symptom: Multiple Simultaneous Alarms</w:t>
      </w:r>
    </w:p>
    <w:p>
      <w:pPr>
        <w:spacing w:after="100"/>
      </w:pPr>
      <w:r>
        <w:t xml:space="preserve">When an IGBT begins failing seriously, multiple protection mechanisms detect the abnormality at once. A late-stage aging event might produce simultaneous bits in the alarm word for FRAMA, IRED_INSTA (instantaneous overcurrent), TEMPERATURA, and PROT_DC.</w:t>
      </w:r>
    </w:p>
    <w:p>
      <w:pPr>
        <w:pStyle w:val="Heading4"/>
        <w:spacing w:after="100" w:before="180"/>
      </w:pPr>
      <w:r>
        <w:t xml:space="preserve">Significance</w:t>
      </w:r>
    </w:p>
    <w:p>
      <w:pPr>
        <w:spacing w:after="100"/>
      </w:pPr>
      <w:r>
        <w:t xml:space="preserve">Multi-alarm events indicate that the protection systems are barely catching the failure in time. The next event may exceed protection coordination and cascade to permanent damage.</w:t>
      </w:r>
    </w:p>
    <w:p>
      <w:pPr>
        <w:pStyle w:val="Heading2"/>
        <w:spacing w:after="160" w:before="280"/>
      </w:pPr>
      <w:r>
        <w:t xml:space="preserve">4.4 Stage 4 — Catastrophic Failure</w:t>
      </w:r>
    </w:p>
    <w:p>
      <w:pPr>
        <w:spacing w:after="100"/>
      </w:pPr>
      <w:r>
        <w:t xml:space="preserve">When IGBT failure progresses past the protection thresholds, the result is typically a short-circuit failure of the IGBT die. The DC bus discharges through the failed device at very high current. Consequences:</w:t>
      </w:r>
    </w:p>
    <w:p>
      <w:pPr>
        <w:pStyle w:val="ListParagraph"/>
        <w:numPr>
          <w:ilvl w:val="0"/>
          <w:numId w:val="2"/>
        </w:numPr>
        <w:spacing w:after="60"/>
      </w:pPr>
      <w:r>
        <w:t xml:space="preserve">DC bus capacitors discharge rapidly through the short — can damage capacitors</w:t>
      </w:r>
    </w:p>
    <w:p>
      <w:pPr>
        <w:pStyle w:val="ListParagraph"/>
        <w:numPr>
          <w:ilvl w:val="0"/>
          <w:numId w:val="2"/>
        </w:numPr>
        <w:spacing w:after="60"/>
      </w:pPr>
      <w:r>
        <w:t xml:space="preserve">DC fuses operate to interrupt the fault current — fuses must be replaced after</w:t>
      </w:r>
    </w:p>
    <w:p>
      <w:pPr>
        <w:pStyle w:val="ListParagraph"/>
        <w:numPr>
          <w:ilvl w:val="0"/>
          <w:numId w:val="2"/>
        </w:numPr>
        <w:spacing w:after="60"/>
      </w:pPr>
      <w:r>
        <w:t xml:space="preserve">Bond wires in the failed module typically burn through, sometimes ejecting molten aluminum</w:t>
      </w:r>
    </w:p>
    <w:p>
      <w:pPr>
        <w:pStyle w:val="ListParagraph"/>
        <w:numPr>
          <w:ilvl w:val="0"/>
          <w:numId w:val="2"/>
        </w:numPr>
        <w:spacing w:after="60"/>
      </w:pPr>
      <w:r>
        <w:t xml:space="preserve">Module package may rupture from internal pressure</w:t>
      </w:r>
    </w:p>
    <w:p>
      <w:pPr>
        <w:pStyle w:val="ListParagraph"/>
        <w:numPr>
          <w:ilvl w:val="0"/>
          <w:numId w:val="2"/>
        </w:numPr>
        <w:spacing w:after="60"/>
      </w:pPr>
      <w:r>
        <w:t xml:space="preserve">Adjacent modules may sustain collateral damage from the fault current path</w:t>
      </w:r>
    </w:p>
    <w:p>
      <w:pPr>
        <w:pStyle w:val="ListParagraph"/>
        <w:numPr>
          <w:ilvl w:val="0"/>
          <w:numId w:val="2"/>
        </w:numPr>
        <w:spacing w:after="60"/>
      </w:pPr>
      <w:r>
        <w:t xml:space="preserve">In rare cases, fire ignition is possible if surrounding materials are flammable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8D7DA" w:val="clear"/>
            <w:tcMar>
              <w:top w:type="dxa" w:w="120"/>
              <w:left w:type="dxa" w:w="200"/>
              <w:bottom w:type="dxa" w:w="120"/>
              <w:right w:type="dxa" w:w="200"/>
            </w:tcMar>
          </w:tcPr>
          <w:p>
            <w:pPr>
              <w:spacing w:after="80"/>
            </w:pPr>
            <w:r>
              <w:rPr>
                <w:b/>
                <w:bCs/>
                <w:sz w:val="22"/>
                <w:szCs w:val="22"/>
              </w:rPr>
              <w:t xml:space="preserve">Never attempt to operate a unit through repeated catastrophic failures</w:t>
            </w:r>
          </w:p>
          <w:p>
            <w:pPr>
              <w:spacing w:after="60"/>
            </w:pPr>
            <w:r>
              <w:rPr>
                <w:sz w:val="20"/>
                <w:szCs w:val="20"/>
              </w:rPr>
              <w:t xml:space="preserve">If a node has experienced one catastrophic IGBT failure and been repaired, the rest of the modules in that cabinet should be considered higher-priority for monitoring. The same operating stress that killed the first module is still acting on the others.</w:t>
            </w:r>
          </w:p>
          <w:p>
            <w:pPr>
              <w:spacing w:after="60"/>
            </w:pPr>
            <w:r>
              <w:rPr>
                <w:sz w:val="20"/>
                <w:szCs w:val="20"/>
              </w:rPr>
              <w:t xml:space="preserve">Plants that have seen one cabinet experience multiple module failures within a year should treat that cabinet as a candidate for full power-electronics refurbishment, not piecemeal IGBT replacement.</w:t>
            </w:r>
          </w:p>
        </w:tc>
      </w:tr>
    </w:tbl>
    <w:p>
      <w:r>
        <w:br w:type="page"/>
      </w:r>
    </w:p>
    <w:p>
      <w:pPr>
        <w:pStyle w:val="Heading1"/>
        <w:spacing w:after="200" w:before="360"/>
      </w:pPr>
      <w:r>
        <w:t xml:space="preserve">5. Monitoring Procedures</w:t>
      </w:r>
    </w:p>
    <w:p>
      <w:pPr>
        <w:spacing w:after="100"/>
      </w:pPr>
      <w:r>
        <w:t xml:space="preserve">This chapter translates the failure mechanisms and symptoms into specific monitoring procedures using the INGETEAM Modbus telemetry. Procedures are tiered by frequency and depth — daily for live alerting, monthly for trend analysis, quarterly for fleet review, and annually for capital planning input.</w:t>
      </w:r>
    </w:p>
    <w:p>
      <w:pPr>
        <w:pStyle w:val="Heading2"/>
        <w:spacing w:after="160" w:before="280"/>
      </w:pPr>
      <w:r>
        <w:t xml:space="preserve">5.1 Daily Live Monitoring</w:t>
      </w:r>
    </w:p>
    <w:p>
      <w:pPr>
        <w:spacing w:after="100"/>
      </w:pPr>
      <w:r>
        <w:t xml:space="preserve">Continuous-poll alerts that should fire immediately on event detection. These integrate with the existing dashboard alarm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Trigger</w:t>
            </w:r>
          </w:p>
        </w:tc>
        <w:tc>
          <w:tcPr>
            <w:tcW w:type="dxa" w:w="2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Modbus Reference</w:t>
            </w:r>
          </w:p>
        </w:tc>
        <w:tc>
          <w:tcPr>
            <w:tcW w:type="dxa" w:w="45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Action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Any FRAMA bit set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30067/30068 bit 0x0800</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Immediate alert to engineering team; auto-create incident ticket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Stop reason 13, 29, or 30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30084 (and history slots)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Same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Multiple alarms simultaneously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30067/30068 with ≥2 bits set</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Critical alert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Power-electronics temp &gt; 75 °C</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30072 (signed)</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Warning alert (operational, not aging)</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Catastrophic failure pattern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Multiple stop reasons in last hour</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Critical alert + recommend OOS</w:t>
            </w:r>
          </w:p>
        </w:tc>
      </w:tr>
    </w:tbl>
    <w:p>
      <w:pPr>
        <w:spacing w:after="80"/>
      </w:pPr>
      <w:r>
        <w:t xml:space="preserve"/>
      </w:r>
    </w:p>
    <w:p>
      <w:pPr>
        <w:pStyle w:val="Heading2"/>
        <w:spacing w:after="160" w:before="280"/>
      </w:pPr>
      <w:r>
        <w:t xml:space="preserve">5.2 Monthly Thermal Trend Analysis</w:t>
      </w:r>
    </w:p>
    <w:p>
      <w:pPr>
        <w:spacing w:after="100"/>
      </w:pPr>
      <w:r>
        <w:t xml:space="preserve">Monthly review focused on slow-developing aging signatures. Should run as a scheduled report each calendar month.</w:t>
      </w:r>
    </w:p>
    <w:p>
      <w:pPr>
        <w:pStyle w:val="Heading3"/>
        <w:spacing w:after="120" w:before="220"/>
      </w:pPr>
      <w:r>
        <w:t xml:space="preserve">5.2.1 Per-Node Thermal Baseline</w:t>
      </w:r>
    </w:p>
    <w:p>
      <w:pPr>
        <w:spacing w:after="100"/>
      </w:pPr>
      <w:r>
        <w:t xml:space="preserve">For each of the 108 nodes, compute the monthly average of register 30072 (power electronics temperature) under matched operating conditions:</w:t>
      </w:r>
    </w:p>
    <w:p>
      <w:pPr>
        <w:shd w:fill="F4F4F4" w:val="clear"/>
        <w:spacing w:after="60" w:before="30"/>
        <w:ind w:left="360"/>
      </w:pPr>
      <w:r>
        <w:rPr>
          <w:rFonts w:ascii="Consolas" w:cs="Consolas" w:eastAsia="Consolas" w:hAnsi="Consolas"/>
          <w:sz w:val="20"/>
          <w:szCs w:val="20"/>
        </w:rPr>
        <w:t xml:space="preserve"># Monthly thermal baseline computation</w:t>
      </w:r>
    </w:p>
    <w:p>
      <w:pPr>
        <w:shd w:fill="F4F4F4" w:val="clear"/>
        <w:spacing w:after="60" w:before="30"/>
        <w:ind w:left="360"/>
      </w:pPr>
      <w:r>
        <w:rPr>
          <w:rFonts w:ascii="Consolas" w:cs="Consolas" w:eastAsia="Consolas" w:hAnsi="Consolas"/>
          <w:sz w:val="20"/>
          <w:szCs w:val="20"/>
        </w:rPr>
        <w:t xml:space="preserve"># Filters to apply when collecting samples:</w:t>
      </w:r>
    </w:p>
    <w:p>
      <w:pPr>
        <w:shd w:fill="F4F4F4" w:val="clear"/>
        <w:spacing w:after="60" w:before="30"/>
        <w:ind w:left="360"/>
      </w:pPr>
      <w:r>
        <w:rPr>
          <w:rFonts w:ascii="Consolas" w:cs="Consolas" w:eastAsia="Consolas" w:hAnsi="Consolas"/>
          <w:sz w:val="20"/>
          <w:szCs w:val="20"/>
        </w:rPr>
        <w:t xml:space="preserve">#   - Time of day: 11:00-14:00 (avoid sunrise/sunset transients)</w:t>
      </w:r>
    </w:p>
    <w:p>
      <w:pPr>
        <w:shd w:fill="F4F4F4" w:val="clear"/>
        <w:spacing w:after="60" w:before="30"/>
        <w:ind w:left="360"/>
      </w:pPr>
      <w:r>
        <w:rPr>
          <w:rFonts w:ascii="Consolas" w:cs="Consolas" w:eastAsia="Consolas" w:hAnsi="Consolas"/>
          <w:sz w:val="20"/>
          <w:szCs w:val="20"/>
        </w:rPr>
        <w:t xml:space="preserve">#   - Power output: 60-85% of nominal (consistent load)</w:t>
      </w:r>
    </w:p>
    <w:p>
      <w:pPr>
        <w:shd w:fill="F4F4F4" w:val="clear"/>
        <w:spacing w:after="60" w:before="30"/>
        <w:ind w:left="360"/>
      </w:pPr>
      <w:r>
        <w:rPr>
          <w:rFonts w:ascii="Consolas" w:cs="Consolas" w:eastAsia="Consolas" w:hAnsi="Consolas"/>
          <w:sz w:val="20"/>
          <w:szCs w:val="20"/>
        </w:rPr>
        <w:t xml:space="preserve">#   - Ambient temperature: 28-32 °C (consistent thermal driver)</w:t>
      </w:r>
    </w:p>
    <w:p>
      <w:pPr>
        <w:shd w:fill="F4F4F4" w:val="clear"/>
        <w:spacing w:after="60" w:before="30"/>
        <w:ind w:left="360"/>
      </w:pPr>
      <w:r>
        <w:rPr>
          <w:rFonts w:ascii="Consolas" w:cs="Consolas" w:eastAsia="Consolas" w:hAnsi="Consolas"/>
          <w:sz w:val="20"/>
          <w:szCs w:val="20"/>
        </w:rPr>
        <w:t xml:space="preserve">#   - Duration: at least 30 minutes of sustained operation</w:t>
      </w:r>
    </w:p>
    <w:p>
      <w:pPr>
        <w:shd w:fill="F4F4F4" w:val="clear"/>
        <w:spacing w:after="60" w:before="30"/>
        <w:ind w:left="360"/>
      </w:pPr>
      <w:r>
        <w:rPr>
          <w:rFonts w:ascii="Consolas" w:cs="Consolas" w:eastAsia="Consolas" w:hAnsi="Consolas"/>
          <w:sz w:val="20"/>
          <w:szCs w:val="20"/>
        </w:rPr>
        <w:t xml:space="preserve">#   - Exclude: any day with FRAMA, TEMPERATURA, or other stops</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for node in fleet:</w:t>
      </w:r>
    </w:p>
    <w:p>
      <w:pPr>
        <w:shd w:fill="F4F4F4" w:val="clear"/>
        <w:spacing w:after="60" w:before="30"/>
        <w:ind w:left="360"/>
      </w:pPr>
      <w:r>
        <w:rPr>
          <w:rFonts w:ascii="Consolas" w:cs="Consolas" w:eastAsia="Consolas" w:hAnsi="Consolas"/>
          <w:sz w:val="20"/>
          <w:szCs w:val="20"/>
        </w:rPr>
        <w:t xml:space="preserve">    samples = filter(month_data[node], conditions)</w:t>
      </w:r>
    </w:p>
    <w:p>
      <w:pPr>
        <w:shd w:fill="F4F4F4" w:val="clear"/>
        <w:spacing w:after="60" w:before="30"/>
        <w:ind w:left="360"/>
      </w:pPr>
      <w:r>
        <w:rPr>
          <w:rFonts w:ascii="Consolas" w:cs="Consolas" w:eastAsia="Consolas" w:hAnsi="Consolas"/>
          <w:sz w:val="20"/>
          <w:szCs w:val="20"/>
        </w:rPr>
        <w:t xml:space="preserve">    monthly_baseline[node][month] = mean(samples.temp_pe)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Year-over-year comparison</w:t>
      </w:r>
    </w:p>
    <w:p>
      <w:pPr>
        <w:shd w:fill="F4F4F4" w:val="clear"/>
        <w:spacing w:after="60" w:before="30"/>
        <w:ind w:left="360"/>
      </w:pPr>
      <w:r>
        <w:rPr>
          <w:rFonts w:ascii="Consolas" w:cs="Consolas" w:eastAsia="Consolas" w:hAnsi="Consolas"/>
          <w:sz w:val="20"/>
          <w:szCs w:val="20"/>
        </w:rPr>
        <w:t xml:space="preserve">yoy_drift[node] = monthly_baseline[node][current] -</w:t>
      </w:r>
    </w:p>
    <w:p>
      <w:pPr>
        <w:shd w:fill="F4F4F4" w:val="clear"/>
        <w:spacing w:after="60" w:before="30"/>
        <w:ind w:left="360"/>
      </w:pPr>
      <w:r>
        <w:rPr>
          <w:rFonts w:ascii="Consolas" w:cs="Consolas" w:eastAsia="Consolas" w:hAnsi="Consolas"/>
          <w:sz w:val="20"/>
          <w:szCs w:val="20"/>
        </w:rPr>
        <w:t xml:space="preserve">                  monthly_baseline[node][12_months_ago]</w:t>
      </w:r>
    </w:p>
    <w:p>
      <w:pPr>
        <w:pStyle w:val="Heading3"/>
        <w:spacing w:after="120" w:before="220"/>
      </w:pPr>
      <w:r>
        <w:t xml:space="preserve">5.2.2 Thermal Health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460"/>
      </w:tblGrid>
      <w:tr>
        <w:trPr>
          <w:tblHeader/>
        </w:trPr>
        <w:tc>
          <w:tcPr>
            <w:tcW w:type="dxa" w:w="1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YoY Drift</w:t>
            </w:r>
          </w:p>
        </w:tc>
        <w:tc>
          <w:tcPr>
            <w:tcW w:type="dxa" w:w="15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Health Tier</w:t>
            </w:r>
          </w:p>
        </w:tc>
        <w:tc>
          <w:tcPr>
            <w:tcW w:type="dxa" w:w="64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Recommended Action</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1 °C</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Healthy</w:t>
            </w:r>
          </w:p>
        </w:tc>
        <w:tc>
          <w:tcPr>
            <w:tcW w:type="dxa" w:w="6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 action; routine monitoring</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1–3 °C</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Watch</w:t>
            </w:r>
          </w:p>
        </w:tc>
        <w:tc>
          <w:tcPr>
            <w:tcW w:type="dxa" w:w="6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Increase polling frequency; check fan and filter health</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3–5 °C</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Concern</w:t>
            </w:r>
          </w:p>
        </w:tc>
        <w:tc>
          <w:tcPr>
            <w:tcW w:type="dxa" w:w="6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Schedule cabinet inspection; thermal imaging</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5–8 °C</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Aging</w:t>
            </w:r>
          </w:p>
        </w:tc>
        <w:tc>
          <w:tcPr>
            <w:tcW w:type="dxa" w:w="6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Add to replacement priority list; service intervention</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&gt; 8 °C</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Critical</w:t>
            </w:r>
          </w:p>
        </w:tc>
        <w:tc>
          <w:tcPr>
            <w:tcW w:type="dxa" w:w="6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Active thermal degradation; plan replacement within 12 months</w:t>
            </w:r>
          </w:p>
        </w:tc>
      </w:tr>
    </w:tbl>
    <w:p>
      <w:pPr>
        <w:spacing w:after="80"/>
      </w:pPr>
      <w:r>
        <w:t xml:space="preserve"/>
      </w:r>
    </w:p>
    <w:p>
      <w:r>
        <w:br w:type="page"/>
      </w:r>
    </w:p>
    <w:p>
      <w:pPr>
        <w:pStyle w:val="Heading2"/>
        <w:spacing w:after="160" w:before="280"/>
      </w:pPr>
      <w:r>
        <w:t xml:space="preserve">5.3 Quarterly Fleet Health Review</w:t>
      </w:r>
    </w:p>
    <w:p>
      <w:pPr>
        <w:spacing w:after="100"/>
      </w:pPr>
      <w:r>
        <w:t xml:space="preserve">Quarterly review aggregates all aging signatures into a per-node health score and produces a fleet-level dashboard suitable for management review. This is the input to capital planning.</w:t>
      </w:r>
    </w:p>
    <w:p>
      <w:pPr>
        <w:pStyle w:val="Heading3"/>
        <w:spacing w:after="120" w:before="220"/>
      </w:pPr>
      <w:r>
        <w:t xml:space="preserve">5.3.1 Composite Health Score</w:t>
      </w:r>
    </w:p>
    <w:p>
      <w:pPr>
        <w:spacing w:after="100"/>
      </w:pPr>
      <w:r>
        <w:t xml:space="preserve">A weighted composite of the leading indicators, computed per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rPr>
          <w:tblHeader/>
        </w:trPr>
        <w:tc>
          <w:tcPr>
            <w:tcW w:type="dxa" w:w="40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Indicator</w:t>
            </w:r>
          </w:p>
        </w:tc>
        <w:tc>
          <w:tcPr>
            <w:tcW w:type="dxa" w:w="12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Weight</w:t>
            </w:r>
          </w:p>
        </w:tc>
        <w:tc>
          <w:tcPr>
            <w:tcW w:type="dxa" w:w="41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Source</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Thermal trend (YoY drift)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30072 monthly baseline analysis</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FRAMA event count (lifetime)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25%</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Stop reasons 13, 29, 30 across all history slots</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TEMPERATURA event count (last 12 months)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15%</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reason 7 frequency</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PI_ANA event count (last 12 months)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Stop reason 26 frequency</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imbalance (current)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10%</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Standard deviation of Iac1, Iac2, Iac3</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Conversion efficiency drift</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10%</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DC-to-AC ratio trend</w:t>
            </w:r>
          </w:p>
        </w:tc>
      </w:tr>
    </w:tbl>
    <w:p>
      <w:pPr>
        <w:spacing w:after="80"/>
      </w:pPr>
      <w:r>
        <w:t xml:space="preserve"/>
      </w:r>
    </w:p>
    <w:p>
      <w:pPr>
        <w:spacing w:after="100"/>
      </w:pPr>
      <w:r>
        <w:t xml:space="preserve">Each indicator is normalized to 0–100 (where 0 = best, 100 = worst), then combined using the weights to produce a single health score per node.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Score Range</w:t>
            </w:r>
          </w:p>
        </w:tc>
        <w:tc>
          <w:tcPr>
            <w:tcW w:type="dxa" w:w="22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Status</w:t>
            </w:r>
          </w:p>
        </w:tc>
        <w:tc>
          <w:tcPr>
            <w:tcW w:type="dxa" w:w="56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Action</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0–25</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Healthy</w:t>
            </w:r>
          </w:p>
        </w:tc>
        <w:tc>
          <w:tcPr>
            <w:tcW w:type="dxa" w:w="5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Standard monitoring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25–50</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Watch</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Increase monitoring frequency; service inspection annually</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50–75</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Aging</w:t>
            </w:r>
          </w:p>
        </w:tc>
        <w:tc>
          <w:tcPr>
            <w:tcW w:type="dxa" w:w="5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Service inspection quarterly; spare parts on hand; budget for replacement within 24 months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75–100</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End-of-life imminent</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Operate only with active monitoring; replacement scheduled within 6 months</w:t>
            </w:r>
          </w:p>
        </w:tc>
      </w:tr>
    </w:tbl>
    <w:p>
      <w:pPr>
        <w:spacing w:after="80"/>
      </w:pPr>
      <w:r>
        <w:t xml:space="preserve"/>
      </w:r>
    </w:p>
    <w:p>
      <w:pPr>
        <w:pStyle w:val="Heading2"/>
        <w:spacing w:after="160" w:before="280"/>
      </w:pPr>
      <w:r>
        <w:t xml:space="preserve">5.4 Annual Capital Planning Input</w:t>
      </w:r>
    </w:p>
    <w:p>
      <w:pPr>
        <w:spacing w:after="100"/>
      </w:pPr>
      <w:r>
        <w:t xml:space="preserve">Once per year, produce a fleet-level summary that informs the multi-year capital expenditure plan. This is the output that goes to plant management and asset owners.</w:t>
      </w:r>
    </w:p>
    <w:p>
      <w:pPr>
        <w:spacing w:after="100"/>
      </w:pPr>
      <w:r>
        <w:t xml:space="preserve">Recommended report structure:</w:t>
      </w:r>
    </w:p>
    <w:p>
      <w:pPr>
        <w:pStyle w:val="ListParagraph"/>
        <w:numPr>
          <w:ilvl w:val="0"/>
          <w:numId w:val="2"/>
        </w:numPr>
        <w:spacing w:after="60"/>
      </w:pPr>
      <w:r>
        <w:t xml:space="preserve">Fleet age distribution histogram — node count by years in service</w:t>
      </w:r>
    </w:p>
    <w:p>
      <w:pPr>
        <w:pStyle w:val="ListParagraph"/>
        <w:numPr>
          <w:ilvl w:val="0"/>
          <w:numId w:val="2"/>
        </w:numPr>
        <w:spacing w:after="60"/>
      </w:pPr>
      <w:r>
        <w:t xml:space="preserve">Health score distribution histogram — node count by health tier</w:t>
      </w:r>
    </w:p>
    <w:p>
      <w:pPr>
        <w:pStyle w:val="ListParagraph"/>
        <w:numPr>
          <w:ilvl w:val="0"/>
          <w:numId w:val="2"/>
        </w:numPr>
        <w:spacing w:after="60"/>
      </w:pPr>
      <w:r>
        <w:t xml:space="preserve">Failure forecast — projected failure rate over next 1, 3, and 5 years based on current health trends</w:t>
      </w:r>
    </w:p>
    <w:p>
      <w:pPr>
        <w:pStyle w:val="ListParagraph"/>
        <w:numPr>
          <w:ilvl w:val="0"/>
          <w:numId w:val="2"/>
        </w:numPr>
        <w:spacing w:after="60"/>
      </w:pPr>
      <w:r>
        <w:t xml:space="preserve">Replacement cost estimate — module-level, cabinet-level, and full-inverter replacement scenarios</w:t>
      </w:r>
    </w:p>
    <w:p>
      <w:pPr>
        <w:pStyle w:val="ListParagraph"/>
        <w:numPr>
          <w:ilvl w:val="0"/>
          <w:numId w:val="2"/>
        </w:numPr>
        <w:spacing w:after="60"/>
      </w:pPr>
      <w:r>
        <w:t xml:space="preserve">Recommended capital strategy — proactive replacement schedule vs. operate-to-failure approach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Why this matters</w:t>
            </w:r>
          </w:p>
          <w:p>
            <w:pPr>
              <w:spacing w:after="60"/>
            </w:pPr>
            <w:r>
              <w:rPr>
                <w:sz w:val="20"/>
                <w:szCs w:val="20"/>
              </w:rPr>
              <w:t xml:space="preserve">Without proactive monitoring, plants typically discover IGBT aging through escalating failures. By the time a clear pattern emerges, it's usually too late for orderly capital planning — replacement happens reactively, often at a premium, often in unfavorable supply-chain conditions.</w:t>
            </w:r>
          </w:p>
          <w:p>
            <w:pPr>
              <w:spacing w:after="60"/>
            </w:pPr>
            <w:r>
              <w:rPr>
                <w:sz w:val="20"/>
                <w:szCs w:val="20"/>
              </w:rPr>
              <w:t xml:space="preserve">An annual capital planning input — even a basic one — gives management a 2–3 year runway to budget, source, and schedule replacements before failures force the issue.</w:t>
            </w:r>
          </w:p>
          <w:p>
            <w:pPr>
              <w:spacing w:after="60"/>
            </w:pPr>
            <w:r>
              <w:rPr>
                <w:sz w:val="20"/>
                <w:szCs w:val="20"/>
              </w:rPr>
              <w:t xml:space="preserve">This is a high-leverage activity: a few days of analytical work per year converts existing telemetry into asset-management intelligence worth millions in avoided downtime and emergency procurement costs.</w:t>
            </w:r>
          </w:p>
        </w:tc>
      </w:tr>
    </w:tbl>
    <w:p>
      <w:r>
        <w:br w:type="page"/>
      </w:r>
    </w:p>
    <w:p>
      <w:pPr>
        <w:pStyle w:val="Heading1"/>
        <w:spacing w:after="200" w:before="360"/>
      </w:pPr>
      <w:r>
        <w:t xml:space="preserve">6. Practical Implementation — Python Reference</w:t>
      </w:r>
    </w:p>
    <w:p>
      <w:pPr>
        <w:spacing w:after="100"/>
      </w:pPr>
      <w:r>
        <w:t xml:space="preserve">This chapter provides reference code for the key monitoring procedures. The code is intentionally simple and aligned with the existing INGETEAM Modbus harness already in use at the ADSI plant. Adapt to your specific environment as needed.</w:t>
      </w:r>
    </w:p>
    <w:p>
      <w:pPr>
        <w:pStyle w:val="Heading2"/>
        <w:spacing w:after="160" w:before="280"/>
      </w:pPr>
      <w:r>
        <w:t xml:space="preserve">6.1 Stop-Reason History Extraction</w:t>
      </w:r>
    </w:p>
    <w:p>
      <w:pPr>
        <w:spacing w:after="100"/>
      </w:pPr>
      <w:r>
        <w:t xml:space="preserve">Pull the 5 most recent stop events from each node and decode them into a structured record.</w:t>
      </w:r>
    </w:p>
    <w:p>
      <w:pPr>
        <w:shd w:fill="F4F4F4" w:val="clear"/>
        <w:spacing w:after="60" w:before="30"/>
        <w:ind w:left="360"/>
      </w:pPr>
      <w:r>
        <w:rPr>
          <w:rFonts w:ascii="Consolas" w:cs="Consolas" w:eastAsia="Consolas" w:hAnsi="Consolas"/>
          <w:sz w:val="20"/>
          <w:szCs w:val="20"/>
        </w:rPr>
        <w:t xml:space="preserve">from datetime import datetime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STOP_REASON_NAMES = {</w:t>
      </w:r>
    </w:p>
    <w:p>
      <w:pPr>
        <w:shd w:fill="F4F4F4" w:val="clear"/>
        <w:spacing w:after="60" w:before="30"/>
        <w:ind w:left="360"/>
      </w:pPr>
      <w:r>
        <w:rPr>
          <w:rFonts w:ascii="Consolas" w:cs="Consolas" w:eastAsia="Consolas" w:hAnsi="Consolas"/>
          <w:sz w:val="20"/>
          <w:szCs w:val="20"/>
        </w:rPr>
        <w:t xml:space="preserve">    1:  'VIN_HIGH',         2:  'FRED',</w:t>
      </w:r>
    </w:p>
    <w:p>
      <w:pPr>
        <w:shd w:fill="F4F4F4" w:val="clear"/>
        <w:spacing w:after="60" w:before="30"/>
        <w:ind w:left="360"/>
      </w:pPr>
      <w:r>
        <w:rPr>
          <w:rFonts w:ascii="Consolas" w:cs="Consolas" w:eastAsia="Consolas" w:hAnsi="Consolas"/>
          <w:sz w:val="20"/>
          <w:szCs w:val="20"/>
        </w:rPr>
        <w:t xml:space="preserve">    3:  'VRED',             4:  'VARISTORES',</w:t>
      </w:r>
    </w:p>
    <w:p>
      <w:pPr>
        <w:shd w:fill="F4F4F4" w:val="clear"/>
        <w:spacing w:after="60" w:before="30"/>
        <w:ind w:left="360"/>
      </w:pPr>
      <w:r>
        <w:rPr>
          <w:rFonts w:ascii="Consolas" w:cs="Consolas" w:eastAsia="Consolas" w:hAnsi="Consolas"/>
          <w:sz w:val="20"/>
          <w:szCs w:val="20"/>
        </w:rPr>
        <w:t xml:space="preserve">    5:  'AISL_DC',          6:  'IAC_EFICAZ',</w:t>
      </w:r>
    </w:p>
    <w:p>
      <w:pPr>
        <w:shd w:fill="F4F4F4" w:val="clear"/>
        <w:spacing w:after="60" w:before="30"/>
        <w:ind w:left="360"/>
      </w:pPr>
      <w:r>
        <w:rPr>
          <w:rFonts w:ascii="Consolas" w:cs="Consolas" w:eastAsia="Consolas" w:hAnsi="Consolas"/>
          <w:sz w:val="20"/>
          <w:szCs w:val="20"/>
        </w:rPr>
        <w:t xml:space="preserve">    7:  'TEMPERATURA',      8:  'LATENCIA_SPI',</w:t>
      </w:r>
    </w:p>
    <w:p>
      <w:pPr>
        <w:shd w:fill="F4F4F4" w:val="clear"/>
        <w:spacing w:after="60" w:before="30"/>
        <w:ind w:left="360"/>
      </w:pPr>
      <w:r>
        <w:rPr>
          <w:rFonts w:ascii="Consolas" w:cs="Consolas" w:eastAsia="Consolas" w:hAnsi="Consolas"/>
          <w:sz w:val="20"/>
          <w:szCs w:val="20"/>
        </w:rPr>
        <w:t xml:space="preserve">    9:  'CONFIGURACION',   10:  'PARO_MANUAL',</w:t>
      </w:r>
    </w:p>
    <w:p>
      <w:pPr>
        <w:shd w:fill="F4F4F4" w:val="clear"/>
        <w:spacing w:after="60" w:before="30"/>
        <w:ind w:left="360"/>
      </w:pPr>
      <w:r>
        <w:rPr>
          <w:rFonts w:ascii="Consolas" w:cs="Consolas" w:eastAsia="Consolas" w:hAnsi="Consolas"/>
          <w:sz w:val="20"/>
          <w:szCs w:val="20"/>
        </w:rPr>
        <w:t xml:space="preserve">   11:  'BAJA_VPV_MED',   12:  'HW_DESCX2',</w:t>
      </w:r>
    </w:p>
    <w:p>
      <w:pPr>
        <w:shd w:fill="F4F4F4" w:val="clear"/>
        <w:spacing w:after="60" w:before="30"/>
        <w:ind w:left="360"/>
      </w:pPr>
      <w:r>
        <w:rPr>
          <w:rFonts w:ascii="Consolas" w:cs="Consolas" w:eastAsia="Consolas" w:hAnsi="Consolas"/>
          <w:sz w:val="20"/>
          <w:szCs w:val="20"/>
        </w:rPr>
        <w:t xml:space="preserve">   13:  'FRAMA3',         14:  'MAX_IAC_INST',</w:t>
      </w:r>
    </w:p>
    <w:p>
      <w:pPr>
        <w:shd w:fill="F4F4F4" w:val="clear"/>
        <w:spacing w:after="60" w:before="30"/>
        <w:ind w:left="360"/>
      </w:pPr>
      <w:r>
        <w:rPr>
          <w:rFonts w:ascii="Consolas" w:cs="Consolas" w:eastAsia="Consolas" w:hAnsi="Consolas"/>
          <w:sz w:val="20"/>
          <w:szCs w:val="20"/>
        </w:rPr>
        <w:t xml:space="preserve">   15:  'CARGA_FIRMWARE', 16:  'REDUNDANTE',</w:t>
      </w:r>
    </w:p>
    <w:p>
      <w:pPr>
        <w:shd w:fill="F4F4F4" w:val="clear"/>
        <w:spacing w:after="60" w:before="30"/>
        <w:ind w:left="360"/>
      </w:pPr>
      <w:r>
        <w:rPr>
          <w:rFonts w:ascii="Consolas" w:cs="Consolas" w:eastAsia="Consolas" w:hAnsi="Consolas"/>
          <w:sz w:val="20"/>
          <w:szCs w:val="20"/>
        </w:rPr>
        <w:t xml:space="preserve">   17:  'PROTECCION_PIB', 18:  'ERROR_LEC_ADC',</w:t>
      </w:r>
    </w:p>
    <w:p>
      <w:pPr>
        <w:shd w:fill="F4F4F4" w:val="clear"/>
        <w:spacing w:after="60" w:before="30"/>
        <w:ind w:left="360"/>
      </w:pPr>
      <w:r>
        <w:rPr>
          <w:rFonts w:ascii="Consolas" w:cs="Consolas" w:eastAsia="Consolas" w:hAnsi="Consolas"/>
          <w:sz w:val="20"/>
          <w:szCs w:val="20"/>
        </w:rPr>
        <w:t xml:space="preserve">   19:  'CONSUMO_POT',    20:  'FUS_DC',</w:t>
      </w:r>
    </w:p>
    <w:p>
      <w:pPr>
        <w:shd w:fill="F4F4F4" w:val="clear"/>
        <w:spacing w:after="60" w:before="30"/>
        <w:ind w:left="360"/>
      </w:pPr>
      <w:r>
        <w:rPr>
          <w:rFonts w:ascii="Consolas" w:cs="Consolas" w:eastAsia="Consolas" w:hAnsi="Consolas"/>
          <w:sz w:val="20"/>
          <w:szCs w:val="20"/>
        </w:rPr>
        <w:t xml:space="preserve">   21:  'TEMP_AUX',       22:  'PROT_AC',</w:t>
      </w:r>
    </w:p>
    <w:p>
      <w:pPr>
        <w:shd w:fill="F4F4F4" w:val="clear"/>
        <w:spacing w:after="60" w:before="30"/>
        <w:ind w:left="360"/>
      </w:pPr>
      <w:r>
        <w:rPr>
          <w:rFonts w:ascii="Consolas" w:cs="Consolas" w:eastAsia="Consolas" w:hAnsi="Consolas"/>
          <w:sz w:val="20"/>
          <w:szCs w:val="20"/>
        </w:rPr>
        <w:t xml:space="preserve">   23:  'MAGNETO',        24:  'CONTACTOR',</w:t>
      </w:r>
    </w:p>
    <w:p>
      <w:pPr>
        <w:shd w:fill="F4F4F4" w:val="clear"/>
        <w:spacing w:after="60" w:before="30"/>
        <w:ind w:left="360"/>
      </w:pPr>
      <w:r>
        <w:rPr>
          <w:rFonts w:ascii="Consolas" w:cs="Consolas" w:eastAsia="Consolas" w:hAnsi="Consolas"/>
          <w:sz w:val="20"/>
          <w:szCs w:val="20"/>
        </w:rPr>
        <w:t xml:space="preserve">   25:  'RESET_WD',       26:  'PI_ANA_SAT',</w:t>
      </w:r>
    </w:p>
    <w:p>
      <w:pPr>
        <w:shd w:fill="F4F4F4" w:val="clear"/>
        <w:spacing w:after="60" w:before="30"/>
        <w:ind w:left="360"/>
      </w:pPr>
      <w:r>
        <w:rPr>
          <w:rFonts w:ascii="Consolas" w:cs="Consolas" w:eastAsia="Consolas" w:hAnsi="Consolas"/>
          <w:sz w:val="20"/>
          <w:szCs w:val="20"/>
        </w:rPr>
        <w:t xml:space="preserve">   27:  'LATENCIA_ADC',   28:  'ERROR_FATAL',</w:t>
      </w:r>
    </w:p>
    <w:p>
      <w:pPr>
        <w:shd w:fill="F4F4F4" w:val="clear"/>
        <w:spacing w:after="60" w:before="30"/>
        <w:ind w:left="360"/>
      </w:pPr>
      <w:r>
        <w:rPr>
          <w:rFonts w:ascii="Consolas" w:cs="Consolas" w:eastAsia="Consolas" w:hAnsi="Consolas"/>
          <w:sz w:val="20"/>
          <w:szCs w:val="20"/>
        </w:rPr>
        <w:t xml:space="preserve">   29:  'FRAMA1',         30:  'FRAMA2',</w:t>
      </w:r>
    </w:p>
    <w:p>
      <w:pPr>
        <w:shd w:fill="F4F4F4" w:val="clear"/>
        <w:spacing w:after="60" w:before="30"/>
        <w:ind w:left="360"/>
      </w:pPr>
      <w:r>
        <w:rPr>
          <w:rFonts w:ascii="Consolas" w:cs="Consolas" w:eastAsia="Consolas" w:hAnsi="Consolas"/>
          <w:sz w:val="20"/>
          <w:szCs w:val="20"/>
        </w:rPr>
        <w:t xml:space="preserv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read_stop_history(node):</w:t>
      </w:r>
    </w:p>
    <w:p>
      <w:pPr>
        <w:shd w:fill="F4F4F4" w:val="clear"/>
        <w:spacing w:after="60" w:before="30"/>
        <w:ind w:left="360"/>
      </w:pPr>
      <w:r>
        <w:rPr>
          <w:rFonts w:ascii="Consolas" w:cs="Consolas" w:eastAsia="Consolas" w:hAnsi="Consolas"/>
          <w:sz w:val="20"/>
          <w:szCs w:val="20"/>
        </w:rPr>
        <w:t xml:space="preserve">    """Read all 5 stop event slots from a node."""</w:t>
      </w:r>
    </w:p>
    <w:p>
      <w:pPr>
        <w:shd w:fill="F4F4F4" w:val="clear"/>
        <w:spacing w:after="60" w:before="30"/>
        <w:ind w:left="360"/>
      </w:pPr>
      <w:r>
        <w:rPr>
          <w:rFonts w:ascii="Consolas" w:cs="Consolas" w:eastAsia="Consolas" w:hAnsi="Consolas"/>
          <w:sz w:val="20"/>
          <w:szCs w:val="20"/>
        </w:rPr>
        <w:t xml:space="preserve">    rr = client.read_input_registers(78, 30, slave=node)</w:t>
      </w:r>
    </w:p>
    <w:p>
      <w:pPr>
        <w:shd w:fill="F4F4F4" w:val="clear"/>
        <w:spacing w:after="60" w:before="30"/>
        <w:ind w:left="360"/>
      </w:pPr>
      <w:r>
        <w:rPr>
          <w:rFonts w:ascii="Consolas" w:cs="Consolas" w:eastAsia="Consolas" w:hAnsi="Consolas"/>
          <w:sz w:val="20"/>
          <w:szCs w:val="20"/>
        </w:rPr>
        <w:t xml:space="preserve">    if rr.isError(): return None</w:t>
      </w:r>
    </w:p>
    <w:p>
      <w:pPr>
        <w:shd w:fill="F4F4F4" w:val="clear"/>
        <w:spacing w:after="60" w:before="30"/>
        <w:ind w:left="360"/>
      </w:pPr>
      <w:r>
        <w:rPr>
          <w:rFonts w:ascii="Consolas" w:cs="Consolas" w:eastAsia="Consolas" w:hAnsi="Consolas"/>
          <w:sz w:val="20"/>
          <w:szCs w:val="20"/>
        </w:rPr>
        <w:t xml:space="preserve">    r = rr.registers</w:t>
      </w:r>
    </w:p>
    <w:p>
      <w:pPr>
        <w:shd w:fill="F4F4F4" w:val="clear"/>
        <w:spacing w:after="60" w:before="30"/>
        <w:ind w:left="360"/>
      </w:pPr>
      <w:r>
        <w:rPr>
          <w:rFonts w:ascii="Consolas" w:cs="Consolas" w:eastAsia="Consolas" w:hAnsi="Consolas"/>
          <w:sz w:val="20"/>
          <w:szCs w:val="20"/>
        </w:rPr>
        <w:t xml:space="preserve">    pointer = r[0]   # register 30078</w:t>
      </w:r>
    </w:p>
    <w:p>
      <w:pPr>
        <w:shd w:fill="F4F4F4" w:val="clear"/>
        <w:spacing w:after="60" w:before="30"/>
        <w:ind w:left="360"/>
      </w:pPr>
      <w:r>
        <w:rPr>
          <w:rFonts w:ascii="Consolas" w:cs="Consolas" w:eastAsia="Consolas" w:hAnsi="Consolas"/>
          <w:sz w:val="20"/>
          <w:szCs w:val="20"/>
        </w:rPr>
        <w:t xml:space="preserve">    events = []</w:t>
      </w:r>
    </w:p>
    <w:p>
      <w:pPr>
        <w:shd w:fill="F4F4F4" w:val="clear"/>
        <w:spacing w:after="60" w:before="30"/>
        <w:ind w:left="360"/>
      </w:pPr>
      <w:r>
        <w:rPr>
          <w:rFonts w:ascii="Consolas" w:cs="Consolas" w:eastAsia="Consolas" w:hAnsi="Consolas"/>
          <w:sz w:val="20"/>
          <w:szCs w:val="20"/>
        </w:rPr>
        <w:t xml:space="preserve">    for i in range(5):</w:t>
      </w:r>
    </w:p>
    <w:p>
      <w:pPr>
        <w:shd w:fill="F4F4F4" w:val="clear"/>
        <w:spacing w:after="60" w:before="30"/>
        <w:ind w:left="360"/>
      </w:pPr>
      <w:r>
        <w:rPr>
          <w:rFonts w:ascii="Consolas" w:cs="Consolas" w:eastAsia="Consolas" w:hAnsi="Consolas"/>
          <w:sz w:val="20"/>
          <w:szCs w:val="20"/>
        </w:rPr>
        <w:t xml:space="preserve">        offset = 1 + i * 6</w:t>
      </w:r>
    </w:p>
    <w:p>
      <w:pPr>
        <w:shd w:fill="F4F4F4" w:val="clear"/>
        <w:spacing w:after="60" w:before="30"/>
        <w:ind w:left="360"/>
      </w:pPr>
      <w:r>
        <w:rPr>
          <w:rFonts w:ascii="Consolas" w:cs="Consolas" w:eastAsia="Consolas" w:hAnsi="Consolas"/>
          <w:sz w:val="20"/>
          <w:szCs w:val="20"/>
        </w:rPr>
        <w:t xml:space="preserve">        events.append({</w:t>
      </w:r>
    </w:p>
    <w:p>
      <w:pPr>
        <w:shd w:fill="F4F4F4" w:val="clear"/>
        <w:spacing w:after="60" w:before="30"/>
        <w:ind w:left="360"/>
      </w:pPr>
      <w:r>
        <w:rPr>
          <w:rFonts w:ascii="Consolas" w:cs="Consolas" w:eastAsia="Consolas" w:hAnsi="Consolas"/>
          <w:sz w:val="20"/>
          <w:szCs w:val="20"/>
        </w:rPr>
        <w:t xml:space="preserve">            'slot': i,</w:t>
      </w:r>
    </w:p>
    <w:p>
      <w:pPr>
        <w:shd w:fill="F4F4F4" w:val="clear"/>
        <w:spacing w:after="60" w:before="30"/>
        <w:ind w:left="360"/>
      </w:pPr>
      <w:r>
        <w:rPr>
          <w:rFonts w:ascii="Consolas" w:cs="Consolas" w:eastAsia="Consolas" w:hAnsi="Consolas"/>
          <w:sz w:val="20"/>
          <w:szCs w:val="20"/>
        </w:rPr>
        <w:t xml:space="preserve">            'is_newest': i == pointer,</w:t>
      </w:r>
    </w:p>
    <w:p>
      <w:pPr>
        <w:shd w:fill="F4F4F4" w:val="clear"/>
        <w:spacing w:after="60" w:before="30"/>
        <w:ind w:left="360"/>
      </w:pPr>
      <w:r>
        <w:rPr>
          <w:rFonts w:ascii="Consolas" w:cs="Consolas" w:eastAsia="Consolas" w:hAnsi="Consolas"/>
          <w:sz w:val="20"/>
          <w:szCs w:val="20"/>
        </w:rPr>
        <w:t xml:space="preserve">            'year':   r[offset],</w:t>
      </w:r>
    </w:p>
    <w:p>
      <w:pPr>
        <w:shd w:fill="F4F4F4" w:val="clear"/>
        <w:spacing w:after="60" w:before="30"/>
        <w:ind w:left="360"/>
      </w:pPr>
      <w:r>
        <w:rPr>
          <w:rFonts w:ascii="Consolas" w:cs="Consolas" w:eastAsia="Consolas" w:hAnsi="Consolas"/>
          <w:sz w:val="20"/>
          <w:szCs w:val="20"/>
        </w:rPr>
        <w:t xml:space="preserve">            'month':  r[offset+1],</w:t>
      </w:r>
    </w:p>
    <w:p>
      <w:pPr>
        <w:shd w:fill="F4F4F4" w:val="clear"/>
        <w:spacing w:after="60" w:before="30"/>
        <w:ind w:left="360"/>
      </w:pPr>
      <w:r>
        <w:rPr>
          <w:rFonts w:ascii="Consolas" w:cs="Consolas" w:eastAsia="Consolas" w:hAnsi="Consolas"/>
          <w:sz w:val="20"/>
          <w:szCs w:val="20"/>
        </w:rPr>
        <w:t xml:space="preserve">            'day':    r[offset+2],</w:t>
      </w:r>
    </w:p>
    <w:p>
      <w:pPr>
        <w:shd w:fill="F4F4F4" w:val="clear"/>
        <w:spacing w:after="60" w:before="30"/>
        <w:ind w:left="360"/>
      </w:pPr>
      <w:r>
        <w:rPr>
          <w:rFonts w:ascii="Consolas" w:cs="Consolas" w:eastAsia="Consolas" w:hAnsi="Consolas"/>
          <w:sz w:val="20"/>
          <w:szCs w:val="20"/>
        </w:rPr>
        <w:t xml:space="preserve">            'hour':   r[offset+3],</w:t>
      </w:r>
    </w:p>
    <w:p>
      <w:pPr>
        <w:shd w:fill="F4F4F4" w:val="clear"/>
        <w:spacing w:after="60" w:before="30"/>
        <w:ind w:left="360"/>
      </w:pPr>
      <w:r>
        <w:rPr>
          <w:rFonts w:ascii="Consolas" w:cs="Consolas" w:eastAsia="Consolas" w:hAnsi="Consolas"/>
          <w:sz w:val="20"/>
          <w:szCs w:val="20"/>
        </w:rPr>
        <w:t xml:space="preserve">            'minute': r[offset+4],</w:t>
      </w:r>
    </w:p>
    <w:p>
      <w:pPr>
        <w:shd w:fill="F4F4F4" w:val="clear"/>
        <w:spacing w:after="60" w:before="30"/>
        <w:ind w:left="360"/>
      </w:pPr>
      <w:r>
        <w:rPr>
          <w:rFonts w:ascii="Consolas" w:cs="Consolas" w:eastAsia="Consolas" w:hAnsi="Consolas"/>
          <w:sz w:val="20"/>
          <w:szCs w:val="20"/>
        </w:rPr>
        <w:t xml:space="preserve">            'reason_code': r[offset+5],</w:t>
      </w:r>
    </w:p>
    <w:p>
      <w:pPr>
        <w:shd w:fill="F4F4F4" w:val="clear"/>
        <w:spacing w:after="60" w:before="30"/>
        <w:ind w:left="360"/>
      </w:pPr>
      <w:r>
        <w:rPr>
          <w:rFonts w:ascii="Consolas" w:cs="Consolas" w:eastAsia="Consolas" w:hAnsi="Consolas"/>
          <w:sz w:val="20"/>
          <w:szCs w:val="20"/>
        </w:rPr>
        <w:t xml:space="preserve">            'reason_name': STOP_REASON_NAMES.get(</w:t>
      </w:r>
    </w:p>
    <w:p>
      <w:pPr>
        <w:shd w:fill="F4F4F4" w:val="clear"/>
        <w:spacing w:after="60" w:before="30"/>
        <w:ind w:left="360"/>
      </w:pPr>
      <w:r>
        <w:rPr>
          <w:rFonts w:ascii="Consolas" w:cs="Consolas" w:eastAsia="Consolas" w:hAnsi="Consolas"/>
          <w:sz w:val="20"/>
          <w:szCs w:val="20"/>
        </w:rPr>
        <w:t xml:space="preserve">                r[offset+5], 'UNKNOWN'),</w:t>
      </w:r>
    </w:p>
    <w:p>
      <w:pPr>
        <w:shd w:fill="F4F4F4" w:val="clear"/>
        <w:spacing w:after="60" w:before="30"/>
        <w:ind w:left="360"/>
      </w:pPr>
      <w:r>
        <w:rPr>
          <w:rFonts w:ascii="Consolas" w:cs="Consolas" w:eastAsia="Consolas" w:hAnsi="Consolas"/>
          <w:sz w:val="20"/>
          <w:szCs w:val="20"/>
        </w:rPr>
        <w:t xml:space="preserve">        })</w:t>
      </w:r>
    </w:p>
    <w:p>
      <w:pPr>
        <w:shd w:fill="F4F4F4" w:val="clear"/>
        <w:spacing w:after="60" w:before="30"/>
        <w:ind w:left="360"/>
      </w:pPr>
      <w:r>
        <w:rPr>
          <w:rFonts w:ascii="Consolas" w:cs="Consolas" w:eastAsia="Consolas" w:hAnsi="Consolas"/>
          <w:sz w:val="20"/>
          <w:szCs w:val="20"/>
        </w:rPr>
        <w:t xml:space="preserve">    return events</w:t>
      </w:r>
    </w:p>
    <w:p>
      <w:pPr>
        <w:spacing w:after="80"/>
      </w:pPr>
      <w:r>
        <w:t xml:space="preserve"/>
      </w:r>
    </w:p>
    <w:p>
      <w:pPr>
        <w:pStyle w:val="Heading2"/>
        <w:spacing w:after="160" w:before="280"/>
      </w:pPr>
      <w:r>
        <w:t xml:space="preserve">6.2 FRAMA Event Lifetime Counter</w:t>
      </w:r>
    </w:p>
    <w:p>
      <w:pPr>
        <w:spacing w:after="100"/>
      </w:pPr>
      <w:r>
        <w:t xml:space="preserve">Count the number of FRAMA events present in each node's history. Useful as input to the health score.</w:t>
      </w:r>
    </w:p>
    <w:p>
      <w:pPr>
        <w:shd w:fill="F4F4F4" w:val="clear"/>
        <w:spacing w:after="60" w:before="30"/>
        <w:ind w:left="360"/>
      </w:pPr>
      <w:r>
        <w:rPr>
          <w:rFonts w:ascii="Consolas" w:cs="Consolas" w:eastAsia="Consolas" w:hAnsi="Consolas"/>
          <w:sz w:val="20"/>
          <w:szCs w:val="20"/>
        </w:rPr>
        <w:t xml:space="preserve">FRAMA_REASONS = {13, 29, 30}</w:t>
      </w:r>
    </w:p>
    <w:p>
      <w:pPr>
        <w:shd w:fill="F4F4F4" w:val="clear"/>
        <w:spacing w:after="60" w:before="30"/>
        <w:ind w:left="360"/>
      </w:pPr>
      <w:r>
        <w:rPr>
          <w:rFonts w:ascii="Consolas" w:cs="Consolas" w:eastAsia="Consolas" w:hAnsi="Consolas"/>
          <w:sz w:val="20"/>
          <w:szCs w:val="20"/>
        </w:rPr>
        <w:t xml:space="preserve">THERMAL_REASONS = {7, 21}</w:t>
      </w:r>
    </w:p>
    <w:p>
      <w:pPr>
        <w:shd w:fill="F4F4F4" w:val="clear"/>
        <w:spacing w:after="60" w:before="30"/>
        <w:ind w:left="360"/>
      </w:pPr>
      <w:r>
        <w:rPr>
          <w:rFonts w:ascii="Consolas" w:cs="Consolas" w:eastAsia="Consolas" w:hAnsi="Consolas"/>
          <w:sz w:val="20"/>
          <w:szCs w:val="20"/>
        </w:rPr>
        <w:t xml:space="preserve">PI_ANA_REASONS = {26}</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def count_aging_events(node):</w:t>
      </w:r>
    </w:p>
    <w:p>
      <w:pPr>
        <w:shd w:fill="F4F4F4" w:val="clear"/>
        <w:spacing w:after="60" w:before="30"/>
        <w:ind w:left="360"/>
      </w:pPr>
      <w:r>
        <w:rPr>
          <w:rFonts w:ascii="Consolas" w:cs="Consolas" w:eastAsia="Consolas" w:hAnsi="Consolas"/>
          <w:sz w:val="20"/>
          <w:szCs w:val="20"/>
        </w:rPr>
        <w:t xml:space="preserve">    events = read_stop_history(node)</w:t>
      </w:r>
    </w:p>
    <w:p>
      <w:pPr>
        <w:shd w:fill="F4F4F4" w:val="clear"/>
        <w:spacing w:after="60" w:before="30"/>
        <w:ind w:left="360"/>
      </w:pPr>
      <w:r>
        <w:rPr>
          <w:rFonts w:ascii="Consolas" w:cs="Consolas" w:eastAsia="Consolas" w:hAnsi="Consolas"/>
          <w:sz w:val="20"/>
          <w:szCs w:val="20"/>
        </w:rPr>
        <w:t xml:space="preserve">    if not events: return None</w:t>
      </w:r>
    </w:p>
    <w:p>
      <w:pPr>
        <w:shd w:fill="F4F4F4" w:val="clear"/>
        <w:spacing w:after="60" w:before="30"/>
        <w:ind w:left="360"/>
      </w:pPr>
      <w:r>
        <w:rPr>
          <w:rFonts w:ascii="Consolas" w:cs="Consolas" w:eastAsia="Consolas" w:hAnsi="Consolas"/>
          <w:sz w:val="20"/>
          <w:szCs w:val="20"/>
        </w:rPr>
        <w:t xml:space="preserve">    counts = {</w:t>
      </w:r>
    </w:p>
    <w:p>
      <w:pPr>
        <w:shd w:fill="F4F4F4" w:val="clear"/>
        <w:spacing w:after="60" w:before="30"/>
        <w:ind w:left="360"/>
      </w:pPr>
      <w:r>
        <w:rPr>
          <w:rFonts w:ascii="Consolas" w:cs="Consolas" w:eastAsia="Consolas" w:hAnsi="Consolas"/>
          <w:sz w:val="20"/>
          <w:szCs w:val="20"/>
        </w:rPr>
        <w:t xml:space="preserve">        'frama_total': 0,</w:t>
      </w:r>
    </w:p>
    <w:p>
      <w:pPr>
        <w:shd w:fill="F4F4F4" w:val="clear"/>
        <w:spacing w:after="60" w:before="30"/>
        <w:ind w:left="360"/>
      </w:pPr>
      <w:r>
        <w:rPr>
          <w:rFonts w:ascii="Consolas" w:cs="Consolas" w:eastAsia="Consolas" w:hAnsi="Consolas"/>
          <w:sz w:val="20"/>
          <w:szCs w:val="20"/>
        </w:rPr>
        <w:t xml:space="preserve">        'frama_branch1': 0,    # reason 29</w:t>
      </w:r>
    </w:p>
    <w:p>
      <w:pPr>
        <w:shd w:fill="F4F4F4" w:val="clear"/>
        <w:spacing w:after="60" w:before="30"/>
        <w:ind w:left="360"/>
      </w:pPr>
      <w:r>
        <w:rPr>
          <w:rFonts w:ascii="Consolas" w:cs="Consolas" w:eastAsia="Consolas" w:hAnsi="Consolas"/>
          <w:sz w:val="20"/>
          <w:szCs w:val="20"/>
        </w:rPr>
        <w:t xml:space="preserve">        'frama_branch2': 0,    # reason 30</w:t>
      </w:r>
    </w:p>
    <w:p>
      <w:pPr>
        <w:shd w:fill="F4F4F4" w:val="clear"/>
        <w:spacing w:after="60" w:before="30"/>
        <w:ind w:left="360"/>
      </w:pPr>
      <w:r>
        <w:rPr>
          <w:rFonts w:ascii="Consolas" w:cs="Consolas" w:eastAsia="Consolas" w:hAnsi="Consolas"/>
          <w:sz w:val="20"/>
          <w:szCs w:val="20"/>
        </w:rPr>
        <w:t xml:space="preserve">        'frama_branch3': 0,    # reason 13</w:t>
      </w:r>
    </w:p>
    <w:p>
      <w:pPr>
        <w:shd w:fill="F4F4F4" w:val="clear"/>
        <w:spacing w:after="60" w:before="30"/>
        <w:ind w:left="360"/>
      </w:pPr>
      <w:r>
        <w:rPr>
          <w:rFonts w:ascii="Consolas" w:cs="Consolas" w:eastAsia="Consolas" w:hAnsi="Consolas"/>
          <w:sz w:val="20"/>
          <w:szCs w:val="20"/>
        </w:rPr>
        <w:t xml:space="preserve">        'thermal': 0,</w:t>
      </w:r>
    </w:p>
    <w:p>
      <w:pPr>
        <w:shd w:fill="F4F4F4" w:val="clear"/>
        <w:spacing w:after="60" w:before="30"/>
        <w:ind w:left="360"/>
      </w:pPr>
      <w:r>
        <w:rPr>
          <w:rFonts w:ascii="Consolas" w:cs="Consolas" w:eastAsia="Consolas" w:hAnsi="Consolas"/>
          <w:sz w:val="20"/>
          <w:szCs w:val="20"/>
        </w:rPr>
        <w:t xml:space="preserve">        'pi_ana': 0,</w:t>
      </w:r>
    </w:p>
    <w:p>
      <w:pPr>
        <w:shd w:fill="F4F4F4" w:val="clear"/>
        <w:spacing w:after="60" w:before="30"/>
        <w:ind w:left="360"/>
      </w:pPr>
      <w:r>
        <w:rPr>
          <w:rFonts w:ascii="Consolas" w:cs="Consolas" w:eastAsia="Consolas" w:hAnsi="Consolas"/>
          <w:sz w:val="20"/>
          <w:szCs w:val="20"/>
        </w:rPr>
        <w:t xml:space="preserve">    }</w:t>
      </w:r>
    </w:p>
    <w:p>
      <w:pPr>
        <w:shd w:fill="F4F4F4" w:val="clear"/>
        <w:spacing w:after="60" w:before="30"/>
        <w:ind w:left="360"/>
      </w:pPr>
      <w:r>
        <w:rPr>
          <w:rFonts w:ascii="Consolas" w:cs="Consolas" w:eastAsia="Consolas" w:hAnsi="Consolas"/>
          <w:sz w:val="20"/>
          <w:szCs w:val="20"/>
        </w:rPr>
        <w:t xml:space="preserve">    for e in events:</w:t>
      </w:r>
    </w:p>
    <w:p>
      <w:pPr>
        <w:shd w:fill="F4F4F4" w:val="clear"/>
        <w:spacing w:after="60" w:before="30"/>
        <w:ind w:left="360"/>
      </w:pPr>
      <w:r>
        <w:rPr>
          <w:rFonts w:ascii="Consolas" w:cs="Consolas" w:eastAsia="Consolas" w:hAnsi="Consolas"/>
          <w:sz w:val="20"/>
          <w:szCs w:val="20"/>
        </w:rPr>
        <w:t xml:space="preserve">        rc = e['reason_code']</w:t>
      </w:r>
    </w:p>
    <w:p>
      <w:pPr>
        <w:shd w:fill="F4F4F4" w:val="clear"/>
        <w:spacing w:after="60" w:before="30"/>
        <w:ind w:left="360"/>
      </w:pPr>
      <w:r>
        <w:rPr>
          <w:rFonts w:ascii="Consolas" w:cs="Consolas" w:eastAsia="Consolas" w:hAnsi="Consolas"/>
          <w:sz w:val="20"/>
          <w:szCs w:val="20"/>
        </w:rPr>
        <w:t xml:space="preserve">        if rc == 13: counts['frama_branch3'] += 1</w:t>
      </w:r>
    </w:p>
    <w:p>
      <w:pPr>
        <w:shd w:fill="F4F4F4" w:val="clear"/>
        <w:spacing w:after="60" w:before="30"/>
        <w:ind w:left="360"/>
      </w:pPr>
      <w:r>
        <w:rPr>
          <w:rFonts w:ascii="Consolas" w:cs="Consolas" w:eastAsia="Consolas" w:hAnsi="Consolas"/>
          <w:sz w:val="20"/>
          <w:szCs w:val="20"/>
        </w:rPr>
        <w:t xml:space="preserve">        if rc == 29: counts['frama_branch1'] += 1</w:t>
      </w:r>
    </w:p>
    <w:p>
      <w:pPr>
        <w:shd w:fill="F4F4F4" w:val="clear"/>
        <w:spacing w:after="60" w:before="30"/>
        <w:ind w:left="360"/>
      </w:pPr>
      <w:r>
        <w:rPr>
          <w:rFonts w:ascii="Consolas" w:cs="Consolas" w:eastAsia="Consolas" w:hAnsi="Consolas"/>
          <w:sz w:val="20"/>
          <w:szCs w:val="20"/>
        </w:rPr>
        <w:t xml:space="preserve">        if rc == 30: counts['frama_branch2'] += 1</w:t>
      </w:r>
    </w:p>
    <w:p>
      <w:pPr>
        <w:shd w:fill="F4F4F4" w:val="clear"/>
        <w:spacing w:after="60" w:before="30"/>
        <w:ind w:left="360"/>
      </w:pPr>
      <w:r>
        <w:rPr>
          <w:rFonts w:ascii="Consolas" w:cs="Consolas" w:eastAsia="Consolas" w:hAnsi="Consolas"/>
          <w:sz w:val="20"/>
          <w:szCs w:val="20"/>
        </w:rPr>
        <w:t xml:space="preserve">        if rc in FRAMA_REASONS:    counts['frama_total'] += 1</w:t>
      </w:r>
    </w:p>
    <w:p>
      <w:pPr>
        <w:shd w:fill="F4F4F4" w:val="clear"/>
        <w:spacing w:after="60" w:before="30"/>
        <w:ind w:left="360"/>
      </w:pPr>
      <w:r>
        <w:rPr>
          <w:rFonts w:ascii="Consolas" w:cs="Consolas" w:eastAsia="Consolas" w:hAnsi="Consolas"/>
          <w:sz w:val="20"/>
          <w:szCs w:val="20"/>
        </w:rPr>
        <w:t xml:space="preserve">        if rc in THERMAL_REASONS:  counts['thermal'] += 1</w:t>
      </w:r>
    </w:p>
    <w:p>
      <w:pPr>
        <w:shd w:fill="F4F4F4" w:val="clear"/>
        <w:spacing w:after="60" w:before="30"/>
        <w:ind w:left="360"/>
      </w:pPr>
      <w:r>
        <w:rPr>
          <w:rFonts w:ascii="Consolas" w:cs="Consolas" w:eastAsia="Consolas" w:hAnsi="Consolas"/>
          <w:sz w:val="20"/>
          <w:szCs w:val="20"/>
        </w:rPr>
        <w:t xml:space="preserve">        if rc in PI_ANA_REASONS:   counts['pi_ana'] += 1</w:t>
      </w:r>
    </w:p>
    <w:p>
      <w:pPr>
        <w:shd w:fill="F4F4F4" w:val="clear"/>
        <w:spacing w:after="60" w:before="30"/>
        <w:ind w:left="360"/>
      </w:pPr>
      <w:r>
        <w:rPr>
          <w:rFonts w:ascii="Consolas" w:cs="Consolas" w:eastAsia="Consolas" w:hAnsi="Consolas"/>
          <w:sz w:val="20"/>
          <w:szCs w:val="20"/>
        </w:rPr>
        <w:t xml:space="preserve">    return counts</w:t>
      </w:r>
    </w:p>
    <w:p>
      <w:pPr>
        <w:spacing w:after="80"/>
      </w:pPr>
      <w:r>
        <w:t xml:space="preserve"/>
      </w:r>
    </w:p>
    <w:p>
      <w:r>
        <w:br w:type="page"/>
      </w:r>
    </w:p>
    <w:p>
      <w:pPr>
        <w:pStyle w:val="Heading2"/>
        <w:spacing w:after="160" w:before="280"/>
      </w:pPr>
      <w:r>
        <w:t xml:space="preserve">6.3 Phase Imbalance Detector</w:t>
      </w:r>
    </w:p>
    <w:p>
      <w:pPr>
        <w:shd w:fill="F4F4F4" w:val="clear"/>
        <w:spacing w:after="60" w:before="30"/>
        <w:ind w:left="360"/>
      </w:pPr>
      <w:r>
        <w:rPr>
          <w:rFonts w:ascii="Consolas" w:cs="Consolas" w:eastAsia="Consolas" w:hAnsi="Consolas"/>
          <w:sz w:val="20"/>
          <w:szCs w:val="20"/>
        </w:rPr>
        <w:t xml:space="preserve">def phase_imbalance(node):</w:t>
      </w:r>
    </w:p>
    <w:p>
      <w:pPr>
        <w:shd w:fill="F4F4F4" w:val="clear"/>
        <w:spacing w:after="60" w:before="30"/>
        <w:ind w:left="360"/>
      </w:pPr>
      <w:r>
        <w:rPr>
          <w:rFonts w:ascii="Consolas" w:cs="Consolas" w:eastAsia="Consolas" w:hAnsi="Consolas"/>
          <w:sz w:val="20"/>
          <w:szCs w:val="20"/>
        </w:rPr>
        <w:t xml:space="preserve">    rr = client.read_input_registers(13, 3, slave=node)</w:t>
      </w:r>
    </w:p>
    <w:p>
      <w:pPr>
        <w:shd w:fill="F4F4F4" w:val="clear"/>
        <w:spacing w:after="60" w:before="30"/>
        <w:ind w:left="360"/>
      </w:pPr>
      <w:r>
        <w:rPr>
          <w:rFonts w:ascii="Consolas" w:cs="Consolas" w:eastAsia="Consolas" w:hAnsi="Consolas"/>
          <w:sz w:val="20"/>
          <w:szCs w:val="20"/>
        </w:rPr>
        <w:t xml:space="preserve">    if rr.isError(): return None</w:t>
      </w:r>
    </w:p>
    <w:p>
      <w:pPr>
        <w:shd w:fill="F4F4F4" w:val="clear"/>
        <w:spacing w:after="60" w:before="30"/>
        <w:ind w:left="360"/>
      </w:pPr>
      <w:r>
        <w:rPr>
          <w:rFonts w:ascii="Consolas" w:cs="Consolas" w:eastAsia="Consolas" w:hAnsi="Consolas"/>
          <w:sz w:val="20"/>
          <w:szCs w:val="20"/>
        </w:rPr>
        <w:t xml:space="preserve">    i1, i2, i3 = rr.registers</w:t>
      </w:r>
    </w:p>
    <w:p>
      <w:pPr>
        <w:shd w:fill="F4F4F4" w:val="clear"/>
        <w:spacing w:after="60" w:before="30"/>
        <w:ind w:left="360"/>
      </w:pPr>
      <w:r>
        <w:rPr>
          <w:rFonts w:ascii="Consolas" w:cs="Consolas" w:eastAsia="Consolas" w:hAnsi="Consolas"/>
          <w:sz w:val="20"/>
          <w:szCs w:val="20"/>
        </w:rPr>
        <w:t xml:space="preserve">    avg = (i1 + i2 + i3) / 3</w:t>
      </w:r>
    </w:p>
    <w:p>
      <w:pPr>
        <w:shd w:fill="F4F4F4" w:val="clear"/>
        <w:spacing w:after="60" w:before="30"/>
        <w:ind w:left="360"/>
      </w:pPr>
      <w:r>
        <w:rPr>
          <w:rFonts w:ascii="Consolas" w:cs="Consolas" w:eastAsia="Consolas" w:hAnsi="Consolas"/>
          <w:sz w:val="20"/>
          <w:szCs w:val="20"/>
        </w:rPr>
        <w:t xml:space="preserve">    if avg &lt; 50:    # node not producing meaningful current</w:t>
      </w:r>
    </w:p>
    <w:p>
      <w:pPr>
        <w:shd w:fill="F4F4F4" w:val="clear"/>
        <w:spacing w:after="60" w:before="30"/>
        <w:ind w:left="360"/>
      </w:pPr>
      <w:r>
        <w:rPr>
          <w:rFonts w:ascii="Consolas" w:cs="Consolas" w:eastAsia="Consolas" w:hAnsi="Consolas"/>
          <w:sz w:val="20"/>
          <w:szCs w:val="20"/>
        </w:rPr>
        <w:t xml:space="preserve">        return None</w:t>
      </w:r>
    </w:p>
    <w:p>
      <w:pPr>
        <w:shd w:fill="F4F4F4" w:val="clear"/>
        <w:spacing w:after="60" w:before="30"/>
        <w:ind w:left="360"/>
      </w:pPr>
      <w:r>
        <w:rPr>
          <w:rFonts w:ascii="Consolas" w:cs="Consolas" w:eastAsia="Consolas" w:hAnsi="Consolas"/>
          <w:sz w:val="20"/>
          <w:szCs w:val="20"/>
        </w:rPr>
        <w:t xml:space="preserve">    max_dev = max(abs(i1-avg), abs(i2-avg), abs(i3-avg))</w:t>
      </w:r>
    </w:p>
    <w:p>
      <w:pPr>
        <w:shd w:fill="F4F4F4" w:val="clear"/>
        <w:spacing w:after="60" w:before="30"/>
        <w:ind w:left="360"/>
      </w:pPr>
      <w:r>
        <w:rPr>
          <w:rFonts w:ascii="Consolas" w:cs="Consolas" w:eastAsia="Consolas" w:hAnsi="Consolas"/>
          <w:sz w:val="20"/>
          <w:szCs w:val="20"/>
        </w:rPr>
        <w:t xml:space="preserve">    return {</w:t>
      </w:r>
    </w:p>
    <w:p>
      <w:pPr>
        <w:shd w:fill="F4F4F4" w:val="clear"/>
        <w:spacing w:after="60" w:before="30"/>
        <w:ind w:left="360"/>
      </w:pPr>
      <w:r>
        <w:rPr>
          <w:rFonts w:ascii="Consolas" w:cs="Consolas" w:eastAsia="Consolas" w:hAnsi="Consolas"/>
          <w:sz w:val="20"/>
          <w:szCs w:val="20"/>
        </w:rPr>
        <w:t xml:space="preserve">        'i1': i1, 'i2': i2, 'i3': i3,</w:t>
      </w:r>
    </w:p>
    <w:p>
      <w:pPr>
        <w:shd w:fill="F4F4F4" w:val="clear"/>
        <w:spacing w:after="60" w:before="30"/>
        <w:ind w:left="360"/>
      </w:pPr>
      <w:r>
        <w:rPr>
          <w:rFonts w:ascii="Consolas" w:cs="Consolas" w:eastAsia="Consolas" w:hAnsi="Consolas"/>
          <w:sz w:val="20"/>
          <w:szCs w:val="20"/>
        </w:rPr>
        <w:t xml:space="preserve">        'avg': avg,</w:t>
      </w:r>
    </w:p>
    <w:p>
      <w:pPr>
        <w:shd w:fill="F4F4F4" w:val="clear"/>
        <w:spacing w:after="60" w:before="30"/>
        <w:ind w:left="360"/>
      </w:pPr>
      <w:r>
        <w:rPr>
          <w:rFonts w:ascii="Consolas" w:cs="Consolas" w:eastAsia="Consolas" w:hAnsi="Consolas"/>
          <w:sz w:val="20"/>
          <w:szCs w:val="20"/>
        </w:rPr>
        <w:t xml:space="preserve">        'imbalance_pct': max_dev / avg * 100,</w:t>
      </w:r>
    </w:p>
    <w:p>
      <w:pPr>
        <w:shd w:fill="F4F4F4" w:val="clear"/>
        <w:spacing w:after="60" w:before="30"/>
        <w:ind w:left="360"/>
      </w:pPr>
      <w:r>
        <w:rPr>
          <w:rFonts w:ascii="Consolas" w:cs="Consolas" w:eastAsia="Consolas" w:hAnsi="Consolas"/>
          <w:sz w:val="20"/>
          <w:szCs w:val="20"/>
        </w:rPr>
        <w:t xml:space="preserve">    }</w:t>
      </w:r>
    </w:p>
    <w:p>
      <w:pPr>
        <w:spacing w:after="80"/>
      </w:pPr>
      <w:r>
        <w:t xml:space="preserve"/>
      </w:r>
    </w:p>
    <w:p>
      <w:pPr>
        <w:pStyle w:val="Heading2"/>
        <w:spacing w:after="160" w:before="280"/>
      </w:pPr>
      <w:r>
        <w:t xml:space="preserve">6.4 Thermal Health Snapshot</w:t>
      </w:r>
    </w:p>
    <w:p>
      <w:pPr>
        <w:shd w:fill="F4F4F4" w:val="clear"/>
        <w:spacing w:after="60" w:before="30"/>
        <w:ind w:left="360"/>
      </w:pPr>
      <w:r>
        <w:rPr>
          <w:rFonts w:ascii="Consolas" w:cs="Consolas" w:eastAsia="Consolas" w:hAnsi="Consolas"/>
          <w:sz w:val="20"/>
          <w:szCs w:val="20"/>
        </w:rPr>
        <w:t xml:space="preserve">def thermal_snapshot(node):</w:t>
      </w:r>
    </w:p>
    <w:p>
      <w:pPr>
        <w:shd w:fill="F4F4F4" w:val="clear"/>
        <w:spacing w:after="60" w:before="30"/>
        <w:ind w:left="360"/>
      </w:pPr>
      <w:r>
        <w:rPr>
          <w:rFonts w:ascii="Consolas" w:cs="Consolas" w:eastAsia="Consolas" w:hAnsi="Consolas"/>
          <w:sz w:val="20"/>
          <w:szCs w:val="20"/>
        </w:rPr>
        <w:t xml:space="preserve">    rr = client.read_input_registers(71, 3, slave=node)</w:t>
      </w:r>
    </w:p>
    <w:p>
      <w:pPr>
        <w:shd w:fill="F4F4F4" w:val="clear"/>
        <w:spacing w:after="60" w:before="30"/>
        <w:ind w:left="360"/>
      </w:pPr>
      <w:r>
        <w:rPr>
          <w:rFonts w:ascii="Consolas" w:cs="Consolas" w:eastAsia="Consolas" w:hAnsi="Consolas"/>
          <w:sz w:val="20"/>
          <w:szCs w:val="20"/>
        </w:rPr>
        <w:t xml:space="preserve">    if rr.isError(): return None</w:t>
      </w:r>
    </w:p>
    <w:p>
      <w:pPr>
        <w:shd w:fill="F4F4F4" w:val="clear"/>
        <w:spacing w:after="60" w:before="30"/>
        <w:ind w:left="360"/>
      </w:pPr>
      <w:r>
        <w:rPr>
          <w:rFonts w:ascii="Consolas" w:cs="Consolas" w:eastAsia="Consolas" w:hAnsi="Consolas"/>
          <w:sz w:val="20"/>
          <w:szCs w:val="20"/>
        </w:rPr>
        <w:t xml:space="preserve">    r = rr.registers</w:t>
      </w:r>
    </w:p>
    <w:p>
      <w:pPr>
        <w:shd w:fill="F4F4F4" w:val="clear"/>
        <w:spacing w:after="60" w:before="30"/>
        <w:ind w:left="360"/>
      </w:pPr>
      <w:r>
        <w:rPr>
          <w:rFonts w:ascii="Consolas" w:cs="Consolas" w:eastAsia="Consolas" w:hAnsi="Consolas"/>
          <w:sz w:val="20"/>
          <w:szCs w:val="20"/>
        </w:rPr>
        <w:t xml:space="preserve">    return {</w:t>
      </w:r>
    </w:p>
    <w:p>
      <w:pPr>
        <w:shd w:fill="F4F4F4" w:val="clear"/>
        <w:spacing w:after="60" w:before="30"/>
        <w:ind w:left="360"/>
      </w:pPr>
      <w:r>
        <w:rPr>
          <w:rFonts w:ascii="Consolas" w:cs="Consolas" w:eastAsia="Consolas" w:hAnsi="Consolas"/>
          <w:sz w:val="20"/>
          <w:szCs w:val="20"/>
        </w:rPr>
        <w:t xml:space="preserve">        'temp_pe':  s16(r[0]),    # 30072</w:t>
      </w:r>
    </w:p>
    <w:p>
      <w:pPr>
        <w:shd w:fill="F4F4F4" w:val="clear"/>
        <w:spacing w:after="60" w:before="30"/>
        <w:ind w:left="360"/>
      </w:pPr>
      <w:r>
        <w:rPr>
          <w:rFonts w:ascii="Consolas" w:cs="Consolas" w:eastAsia="Consolas" w:hAnsi="Consolas"/>
          <w:sz w:val="20"/>
          <w:szCs w:val="20"/>
        </w:rPr>
        <w:t xml:space="preserve">        'temp_ctl': s16(r[1]),    # 30073</w:t>
      </w:r>
    </w:p>
    <w:p>
      <w:pPr>
        <w:shd w:fill="F4F4F4" w:val="clear"/>
        <w:spacing w:after="60" w:before="30"/>
        <w:ind w:left="360"/>
      </w:pPr>
      <w:r>
        <w:rPr>
          <w:rFonts w:ascii="Consolas" w:cs="Consolas" w:eastAsia="Consolas" w:hAnsi="Consolas"/>
          <w:sz w:val="20"/>
          <w:szCs w:val="20"/>
        </w:rPr>
        <w:t xml:space="preserve">    }</w:t>
      </w:r>
    </w:p>
    <w:p>
      <w:pPr>
        <w:spacing w:after="80"/>
      </w:pPr>
      <w:r>
        <w:t xml:space="preserve"/>
      </w:r>
    </w:p>
    <w:p>
      <w:pPr>
        <w:pStyle w:val="Heading2"/>
        <w:spacing w:after="160" w:before="280"/>
      </w:pPr>
      <w:r>
        <w:t xml:space="preserve">6.5 Health Score Computation</w:t>
      </w:r>
    </w:p>
    <w:p>
      <w:pPr>
        <w:shd w:fill="F4F4F4" w:val="clear"/>
        <w:spacing w:after="60" w:before="30"/>
        <w:ind w:left="360"/>
      </w:pPr>
      <w:r>
        <w:rPr>
          <w:rFonts w:ascii="Consolas" w:cs="Consolas" w:eastAsia="Consolas" w:hAnsi="Consolas"/>
          <w:sz w:val="20"/>
          <w:szCs w:val="20"/>
        </w:rPr>
        <w:t xml:space="preserve">def health_score(node, monthly_thermal_baseline,</w:t>
      </w:r>
    </w:p>
    <w:p>
      <w:pPr>
        <w:shd w:fill="F4F4F4" w:val="clear"/>
        <w:spacing w:after="60" w:before="30"/>
        <w:ind w:left="360"/>
      </w:pPr>
      <w:r>
        <w:rPr>
          <w:rFonts w:ascii="Consolas" w:cs="Consolas" w:eastAsia="Consolas" w:hAnsi="Consolas"/>
          <w:sz w:val="20"/>
          <w:szCs w:val="20"/>
        </w:rPr>
        <w:t xml:space="preserve">                 baseline_12mo_ago):</w:t>
      </w:r>
    </w:p>
    <w:p>
      <w:pPr>
        <w:shd w:fill="F4F4F4" w:val="clear"/>
        <w:spacing w:after="60" w:before="30"/>
        <w:ind w:left="360"/>
      </w:pPr>
      <w:r>
        <w:rPr>
          <w:rFonts w:ascii="Consolas" w:cs="Consolas" w:eastAsia="Consolas" w:hAnsi="Consolas"/>
          <w:sz w:val="20"/>
          <w:szCs w:val="20"/>
        </w:rPr>
        <w:t xml:space="preserve">    """Composite 0-100 score; higher = worse."""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aging = count_aging_events(node)</w:t>
      </w:r>
    </w:p>
    <w:p>
      <w:pPr>
        <w:shd w:fill="F4F4F4" w:val="clear"/>
        <w:spacing w:after="60" w:before="30"/>
        <w:ind w:left="360"/>
      </w:pPr>
      <w:r>
        <w:rPr>
          <w:rFonts w:ascii="Consolas" w:cs="Consolas" w:eastAsia="Consolas" w:hAnsi="Consolas"/>
          <w:sz w:val="20"/>
          <w:szCs w:val="20"/>
        </w:rPr>
        <w:t xml:space="preserve">    thermal_now = thermal_snapshot(node)</w:t>
      </w:r>
    </w:p>
    <w:p>
      <w:pPr>
        <w:shd w:fill="F4F4F4" w:val="clear"/>
        <w:spacing w:after="60" w:before="30"/>
        <w:ind w:left="360"/>
      </w:pPr>
      <w:r>
        <w:rPr>
          <w:rFonts w:ascii="Consolas" w:cs="Consolas" w:eastAsia="Consolas" w:hAnsi="Consolas"/>
          <w:sz w:val="20"/>
          <w:szCs w:val="20"/>
        </w:rPr>
        <w:t xml:space="preserve">    imbal = phase_imbalance(node)</w:t>
      </w:r>
    </w:p>
    <w:p>
      <w:pPr>
        <w:shd w:fill="F4F4F4" w:val="clear"/>
        <w:spacing w:after="60" w:before="30"/>
        <w:ind w:left="360"/>
      </w:pPr>
      <w:r>
        <w:rPr>
          <w:rFonts w:ascii="Consolas" w:cs="Consolas" w:eastAsia="Consolas" w:hAnsi="Consolas"/>
          <w:sz w:val="20"/>
          <w:szCs w:val="20"/>
        </w:rPr>
        <w:t xml:space="preserve">    if not all([aging, thermal_now]):</w:t>
      </w:r>
    </w:p>
    <w:p>
      <w:pPr>
        <w:shd w:fill="F4F4F4" w:val="clear"/>
        <w:spacing w:after="60" w:before="30"/>
        <w:ind w:left="360"/>
      </w:pPr>
      <w:r>
        <w:rPr>
          <w:rFonts w:ascii="Consolas" w:cs="Consolas" w:eastAsia="Consolas" w:hAnsi="Consolas"/>
          <w:sz w:val="20"/>
          <w:szCs w:val="20"/>
        </w:rPr>
        <w:t xml:space="preserve">        return None</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 Thermal trend (30%) - 0 to 100 scale</w:t>
      </w:r>
    </w:p>
    <w:p>
      <w:pPr>
        <w:shd w:fill="F4F4F4" w:val="clear"/>
        <w:spacing w:after="60" w:before="30"/>
        <w:ind w:left="360"/>
      </w:pPr>
      <w:r>
        <w:rPr>
          <w:rFonts w:ascii="Consolas" w:cs="Consolas" w:eastAsia="Consolas" w:hAnsi="Consolas"/>
          <w:sz w:val="20"/>
          <w:szCs w:val="20"/>
        </w:rPr>
        <w:t xml:space="preserve">    yoy_drift = (monthly_thermal_baseline -</w:t>
      </w:r>
    </w:p>
    <w:p>
      <w:pPr>
        <w:shd w:fill="F4F4F4" w:val="clear"/>
        <w:spacing w:after="60" w:before="30"/>
        <w:ind w:left="360"/>
      </w:pPr>
      <w:r>
        <w:rPr>
          <w:rFonts w:ascii="Consolas" w:cs="Consolas" w:eastAsia="Consolas" w:hAnsi="Consolas"/>
          <w:sz w:val="20"/>
          <w:szCs w:val="20"/>
        </w:rPr>
        <w:t xml:space="preserve">                 baseline_12mo_ago)</w:t>
      </w:r>
    </w:p>
    <w:p>
      <w:pPr>
        <w:shd w:fill="F4F4F4" w:val="clear"/>
        <w:spacing w:after="60" w:before="30"/>
        <w:ind w:left="360"/>
      </w:pPr>
      <w:r>
        <w:rPr>
          <w:rFonts w:ascii="Consolas" w:cs="Consolas" w:eastAsia="Consolas" w:hAnsi="Consolas"/>
          <w:sz w:val="20"/>
          <w:szCs w:val="20"/>
        </w:rPr>
        <w:t xml:space="preserve">    thermal_score = min(100, max(0, yoy_drift * 12))</w:t>
      </w:r>
    </w:p>
    <w:p>
      <w:pPr>
        <w:shd w:fill="F4F4F4" w:val="clear"/>
        <w:spacing w:after="60" w:before="30"/>
        <w:ind w:left="360"/>
      </w:pPr>
      <w:r>
        <w:rPr>
          <w:rFonts w:ascii="Consolas" w:cs="Consolas" w:eastAsia="Consolas" w:hAnsi="Consolas"/>
          <w:sz w:val="20"/>
          <w:szCs w:val="20"/>
        </w:rPr>
        <w:t xml:space="preserve">    #   yoy_drift of 8 °C maps to 96 (Critical)</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 FRAMA history (25%)</w:t>
      </w:r>
    </w:p>
    <w:p>
      <w:pPr>
        <w:shd w:fill="F4F4F4" w:val="clear"/>
        <w:spacing w:after="60" w:before="30"/>
        <w:ind w:left="360"/>
      </w:pPr>
      <w:r>
        <w:rPr>
          <w:rFonts w:ascii="Consolas" w:cs="Consolas" w:eastAsia="Consolas" w:hAnsi="Consolas"/>
          <w:sz w:val="20"/>
          <w:szCs w:val="20"/>
        </w:rPr>
        <w:t xml:space="preserve">    frama_score = min(100, aging['frama_total'] * 30)</w:t>
      </w:r>
    </w:p>
    <w:p>
      <w:pPr>
        <w:shd w:fill="F4F4F4" w:val="clear"/>
        <w:spacing w:after="60" w:before="30"/>
        <w:ind w:left="360"/>
      </w:pPr>
      <w:r>
        <w:rPr>
          <w:rFonts w:ascii="Consolas" w:cs="Consolas" w:eastAsia="Consolas" w:hAnsi="Consolas"/>
          <w:sz w:val="20"/>
          <w:szCs w:val="20"/>
        </w:rPr>
        <w:t xml:space="preserve">    #   1 FRAMA = 30, 2 FRAMA = 60, 3+ = 100</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 Thermal trips (15%)</w:t>
      </w:r>
    </w:p>
    <w:p>
      <w:pPr>
        <w:shd w:fill="F4F4F4" w:val="clear"/>
        <w:spacing w:after="60" w:before="30"/>
        <w:ind w:left="360"/>
      </w:pPr>
      <w:r>
        <w:rPr>
          <w:rFonts w:ascii="Consolas" w:cs="Consolas" w:eastAsia="Consolas" w:hAnsi="Consolas"/>
          <w:sz w:val="20"/>
          <w:szCs w:val="20"/>
        </w:rPr>
        <w:t xml:space="preserve">    therm_trip_score = min(100, aging['thermal'] * 25)</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 PI_ANA trips (10%)</w:t>
      </w:r>
    </w:p>
    <w:p>
      <w:pPr>
        <w:shd w:fill="F4F4F4" w:val="clear"/>
        <w:spacing w:after="60" w:before="30"/>
        <w:ind w:left="360"/>
      </w:pPr>
      <w:r>
        <w:rPr>
          <w:rFonts w:ascii="Consolas" w:cs="Consolas" w:eastAsia="Consolas" w:hAnsi="Consolas"/>
          <w:sz w:val="20"/>
          <w:szCs w:val="20"/>
        </w:rPr>
        <w:t xml:space="preserve">    pi_score = min(100, aging['pi_ana'] * 35)</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 Phase imbalance (10%)</w:t>
      </w:r>
    </w:p>
    <w:p>
      <w:pPr>
        <w:shd w:fill="F4F4F4" w:val="clear"/>
        <w:spacing w:after="60" w:before="30"/>
        <w:ind w:left="360"/>
      </w:pPr>
      <w:r>
        <w:rPr>
          <w:rFonts w:ascii="Consolas" w:cs="Consolas" w:eastAsia="Consolas" w:hAnsi="Consolas"/>
          <w:sz w:val="20"/>
          <w:szCs w:val="20"/>
        </w:rPr>
        <w:t xml:space="preserve">    imbal_score = min(100,</w:t>
      </w:r>
    </w:p>
    <w:p>
      <w:pPr>
        <w:shd w:fill="F4F4F4" w:val="clear"/>
        <w:spacing w:after="60" w:before="30"/>
        <w:ind w:left="360"/>
      </w:pPr>
      <w:r>
        <w:rPr>
          <w:rFonts w:ascii="Consolas" w:cs="Consolas" w:eastAsia="Consolas" w:hAnsi="Consolas"/>
          <w:sz w:val="20"/>
          <w:szCs w:val="20"/>
        </w:rPr>
        <w:t xml:space="preserve">        (imbal['imbalance_pct'] - 1) * 20) if imbal else 0</w:t>
      </w:r>
    </w:p>
    <w:p>
      <w:pPr>
        <w:shd w:fill="F4F4F4" w:val="clear"/>
        <w:spacing w:after="60" w:before="30"/>
        <w:ind w:left="360"/>
      </w:pPr>
      <w:r>
        <w:rPr>
          <w:rFonts w:ascii="Consolas" w:cs="Consolas" w:eastAsia="Consolas" w:hAnsi="Consolas"/>
          <w:sz w:val="20"/>
          <w:szCs w:val="20"/>
        </w:rPr>
        <w:t xml:space="preserve"/>
      </w:r>
    </w:p>
    <w:p>
      <w:pPr>
        <w:shd w:fill="F4F4F4" w:val="clear"/>
        <w:spacing w:after="60" w:before="30"/>
        <w:ind w:left="360"/>
      </w:pPr>
      <w:r>
        <w:rPr>
          <w:rFonts w:ascii="Consolas" w:cs="Consolas" w:eastAsia="Consolas" w:hAnsi="Consolas"/>
          <w:sz w:val="20"/>
          <w:szCs w:val="20"/>
        </w:rPr>
        <w:t xml:space="preserve">    # Composite (efficiency drift treated as 10% baseline)</w:t>
      </w:r>
    </w:p>
    <w:p>
      <w:pPr>
        <w:shd w:fill="F4F4F4" w:val="clear"/>
        <w:spacing w:after="60" w:before="30"/>
        <w:ind w:left="360"/>
      </w:pPr>
      <w:r>
        <w:rPr>
          <w:rFonts w:ascii="Consolas" w:cs="Consolas" w:eastAsia="Consolas" w:hAnsi="Consolas"/>
          <w:sz w:val="20"/>
          <w:szCs w:val="20"/>
        </w:rPr>
        <w:t xml:space="preserve">    score = (0.30 * thermal_score +</w:t>
      </w:r>
    </w:p>
    <w:p>
      <w:pPr>
        <w:shd w:fill="F4F4F4" w:val="clear"/>
        <w:spacing w:after="60" w:before="30"/>
        <w:ind w:left="360"/>
      </w:pPr>
      <w:r>
        <w:rPr>
          <w:rFonts w:ascii="Consolas" w:cs="Consolas" w:eastAsia="Consolas" w:hAnsi="Consolas"/>
          <w:sz w:val="20"/>
          <w:szCs w:val="20"/>
        </w:rPr>
        <w:t xml:space="preserve">             0.25 * frama_score +</w:t>
      </w:r>
    </w:p>
    <w:p>
      <w:pPr>
        <w:shd w:fill="F4F4F4" w:val="clear"/>
        <w:spacing w:after="60" w:before="30"/>
        <w:ind w:left="360"/>
      </w:pPr>
      <w:r>
        <w:rPr>
          <w:rFonts w:ascii="Consolas" w:cs="Consolas" w:eastAsia="Consolas" w:hAnsi="Consolas"/>
          <w:sz w:val="20"/>
          <w:szCs w:val="20"/>
        </w:rPr>
        <w:t xml:space="preserve">             0.15 * therm_trip_score +</w:t>
      </w:r>
    </w:p>
    <w:p>
      <w:pPr>
        <w:shd w:fill="F4F4F4" w:val="clear"/>
        <w:spacing w:after="60" w:before="30"/>
        <w:ind w:left="360"/>
      </w:pPr>
      <w:r>
        <w:rPr>
          <w:rFonts w:ascii="Consolas" w:cs="Consolas" w:eastAsia="Consolas" w:hAnsi="Consolas"/>
          <w:sz w:val="20"/>
          <w:szCs w:val="20"/>
        </w:rPr>
        <w:t xml:space="preserve">             0.10 * pi_score +</w:t>
      </w:r>
    </w:p>
    <w:p>
      <w:pPr>
        <w:shd w:fill="F4F4F4" w:val="clear"/>
        <w:spacing w:after="60" w:before="30"/>
        <w:ind w:left="360"/>
      </w:pPr>
      <w:r>
        <w:rPr>
          <w:rFonts w:ascii="Consolas" w:cs="Consolas" w:eastAsia="Consolas" w:hAnsi="Consolas"/>
          <w:sz w:val="20"/>
          <w:szCs w:val="20"/>
        </w:rPr>
        <w:t xml:space="preserve">             0.10 * imbal_score)</w:t>
      </w:r>
    </w:p>
    <w:p>
      <w:pPr>
        <w:shd w:fill="F4F4F4" w:val="clear"/>
        <w:spacing w:after="60" w:before="30"/>
        <w:ind w:left="360"/>
      </w:pPr>
      <w:r>
        <w:rPr>
          <w:rFonts w:ascii="Consolas" w:cs="Consolas" w:eastAsia="Consolas" w:hAnsi="Consolas"/>
          <w:sz w:val="20"/>
          <w:szCs w:val="20"/>
        </w:rPr>
        <w:t xml:space="preserve">    return round(score, 1)</w:t>
      </w:r>
    </w:p>
    <w:p>
      <w:pPr>
        <w:spacing w:after="80"/>
      </w:pPr>
      <w:r>
        <w:t xml:space="preserve"/>
      </w:r>
    </w:p>
    <w:p>
      <w:pPr>
        <w:pStyle w:val="Heading2"/>
        <w:spacing w:after="160" w:before="280"/>
      </w:pPr>
      <w:r>
        <w:t xml:space="preserve">6.6 Fleet-Wide Health Report Generator</w:t>
      </w:r>
    </w:p>
    <w:p>
      <w:pPr>
        <w:shd w:fill="F4F4F4" w:val="clear"/>
        <w:spacing w:after="60" w:before="30"/>
        <w:ind w:left="360"/>
      </w:pPr>
      <w:r>
        <w:rPr>
          <w:rFonts w:ascii="Consolas" w:cs="Consolas" w:eastAsia="Consolas" w:hAnsi="Consolas"/>
          <w:sz w:val="20"/>
          <w:szCs w:val="20"/>
        </w:rPr>
        <w:t xml:space="preserve">def generate_fleet_report(filename='fleet_health.csv'):</w:t>
      </w:r>
    </w:p>
    <w:p>
      <w:pPr>
        <w:shd w:fill="F4F4F4" w:val="clear"/>
        <w:spacing w:after="60" w:before="30"/>
        <w:ind w:left="360"/>
      </w:pPr>
      <w:r>
        <w:rPr>
          <w:rFonts w:ascii="Consolas" w:cs="Consolas" w:eastAsia="Consolas" w:hAnsi="Consolas"/>
          <w:sz w:val="20"/>
          <w:szCs w:val="20"/>
        </w:rPr>
        <w:t xml:space="preserve">    with open(filename, 'w', newline='') as f:</w:t>
      </w:r>
    </w:p>
    <w:p>
      <w:pPr>
        <w:shd w:fill="F4F4F4" w:val="clear"/>
        <w:spacing w:after="60" w:before="30"/>
        <w:ind w:left="360"/>
      </w:pPr>
      <w:r>
        <w:rPr>
          <w:rFonts w:ascii="Consolas" w:cs="Consolas" w:eastAsia="Consolas" w:hAnsi="Consolas"/>
          <w:sz w:val="20"/>
          <w:szCs w:val="20"/>
        </w:rPr>
        <w:t xml:space="preserve">        w = csv.writer(f)</w:t>
      </w:r>
    </w:p>
    <w:p>
      <w:pPr>
        <w:shd w:fill="F4F4F4" w:val="clear"/>
        <w:spacing w:after="60" w:before="30"/>
        <w:ind w:left="360"/>
      </w:pPr>
      <w:r>
        <w:rPr>
          <w:rFonts w:ascii="Consolas" w:cs="Consolas" w:eastAsia="Consolas" w:hAnsi="Consolas"/>
          <w:sz w:val="20"/>
          <w:szCs w:val="20"/>
        </w:rPr>
        <w:t xml:space="preserve">        w.writerow(['cabinet', 'node', 'health_score',</w:t>
      </w:r>
    </w:p>
    <w:p>
      <w:pPr>
        <w:shd w:fill="F4F4F4" w:val="clear"/>
        <w:spacing w:after="60" w:before="30"/>
        <w:ind w:left="360"/>
      </w:pPr>
      <w:r>
        <w:rPr>
          <w:rFonts w:ascii="Consolas" w:cs="Consolas" w:eastAsia="Consolas" w:hAnsi="Consolas"/>
          <w:sz w:val="20"/>
          <w:szCs w:val="20"/>
        </w:rPr>
        <w:t xml:space="preserve">                    'frama_total', 'thermal_trips',</w:t>
      </w:r>
    </w:p>
    <w:p>
      <w:pPr>
        <w:shd w:fill="F4F4F4" w:val="clear"/>
        <w:spacing w:after="60" w:before="30"/>
        <w:ind w:left="360"/>
      </w:pPr>
      <w:r>
        <w:rPr>
          <w:rFonts w:ascii="Consolas" w:cs="Consolas" w:eastAsia="Consolas" w:hAnsi="Consolas"/>
          <w:sz w:val="20"/>
          <w:szCs w:val="20"/>
        </w:rPr>
        <w:t xml:space="preserve">                    'pi_ana_trips', 'temp_pe',</w:t>
      </w:r>
    </w:p>
    <w:p>
      <w:pPr>
        <w:shd w:fill="F4F4F4" w:val="clear"/>
        <w:spacing w:after="60" w:before="30"/>
        <w:ind w:left="360"/>
      </w:pPr>
      <w:r>
        <w:rPr>
          <w:rFonts w:ascii="Consolas" w:cs="Consolas" w:eastAsia="Consolas" w:hAnsi="Consolas"/>
          <w:sz w:val="20"/>
          <w:szCs w:val="20"/>
        </w:rPr>
        <w:t xml:space="preserve">                    'imbalance_pct', 'tier'])</w:t>
      </w:r>
    </w:p>
    <w:p>
      <w:pPr>
        <w:shd w:fill="F4F4F4" w:val="clear"/>
        <w:spacing w:after="60" w:before="30"/>
        <w:ind w:left="360"/>
      </w:pPr>
      <w:r>
        <w:rPr>
          <w:rFonts w:ascii="Consolas" w:cs="Consolas" w:eastAsia="Consolas" w:hAnsi="Consolas"/>
          <w:sz w:val="20"/>
          <w:szCs w:val="20"/>
        </w:rPr>
        <w:t xml:space="preserve">        for cab in range(1, 28):</w:t>
      </w:r>
    </w:p>
    <w:p>
      <w:pPr>
        <w:shd w:fill="F4F4F4" w:val="clear"/>
        <w:spacing w:after="60" w:before="30"/>
        <w:ind w:left="360"/>
      </w:pPr>
      <w:r>
        <w:rPr>
          <w:rFonts w:ascii="Consolas" w:cs="Consolas" w:eastAsia="Consolas" w:hAnsi="Consolas"/>
          <w:sz w:val="20"/>
          <w:szCs w:val="20"/>
        </w:rPr>
        <w:t xml:space="preserve">            for n in range(1, 5):    # 4 nodes per cabinet</w:t>
      </w:r>
    </w:p>
    <w:p>
      <w:pPr>
        <w:shd w:fill="F4F4F4" w:val="clear"/>
        <w:spacing w:after="60" w:before="30"/>
        <w:ind w:left="360"/>
      </w:pPr>
      <w:r>
        <w:rPr>
          <w:rFonts w:ascii="Consolas" w:cs="Consolas" w:eastAsia="Consolas" w:hAnsi="Consolas"/>
          <w:sz w:val="20"/>
          <w:szCs w:val="20"/>
        </w:rPr>
        <w:t xml:space="preserve">                node_id = (cab - 1) * 4 + n</w:t>
      </w:r>
    </w:p>
    <w:p>
      <w:pPr>
        <w:shd w:fill="F4F4F4" w:val="clear"/>
        <w:spacing w:after="60" w:before="30"/>
        <w:ind w:left="360"/>
      </w:pPr>
      <w:r>
        <w:rPr>
          <w:rFonts w:ascii="Consolas" w:cs="Consolas" w:eastAsia="Consolas" w:hAnsi="Consolas"/>
          <w:sz w:val="20"/>
          <w:szCs w:val="20"/>
        </w:rPr>
        <w:t xml:space="preserve">                score = health_score(node_id, ...)</w:t>
      </w:r>
    </w:p>
    <w:p>
      <w:pPr>
        <w:shd w:fill="F4F4F4" w:val="clear"/>
        <w:spacing w:after="60" w:before="30"/>
        <w:ind w:left="360"/>
      </w:pPr>
      <w:r>
        <w:rPr>
          <w:rFonts w:ascii="Consolas" w:cs="Consolas" w:eastAsia="Consolas" w:hAnsi="Consolas"/>
          <w:sz w:val="20"/>
          <w:szCs w:val="20"/>
        </w:rPr>
        <w:t xml:space="preserve">                tier = ('Healthy' if score &lt; 25 else</w:t>
      </w:r>
    </w:p>
    <w:p>
      <w:pPr>
        <w:shd w:fill="F4F4F4" w:val="clear"/>
        <w:spacing w:after="60" w:before="30"/>
        <w:ind w:left="360"/>
      </w:pPr>
      <w:r>
        <w:rPr>
          <w:rFonts w:ascii="Consolas" w:cs="Consolas" w:eastAsia="Consolas" w:hAnsi="Consolas"/>
          <w:sz w:val="20"/>
          <w:szCs w:val="20"/>
        </w:rPr>
        <w:t xml:space="preserve">                        'Watch'   if score &lt; 50 else</w:t>
      </w:r>
    </w:p>
    <w:p>
      <w:pPr>
        <w:shd w:fill="F4F4F4" w:val="clear"/>
        <w:spacing w:after="60" w:before="30"/>
        <w:ind w:left="360"/>
      </w:pPr>
      <w:r>
        <w:rPr>
          <w:rFonts w:ascii="Consolas" w:cs="Consolas" w:eastAsia="Consolas" w:hAnsi="Consolas"/>
          <w:sz w:val="20"/>
          <w:szCs w:val="20"/>
        </w:rPr>
        <w:t xml:space="preserve">                        'Aging'   if score &lt; 75 else</w:t>
      </w:r>
    </w:p>
    <w:p>
      <w:pPr>
        <w:shd w:fill="F4F4F4" w:val="clear"/>
        <w:spacing w:after="60" w:before="30"/>
        <w:ind w:left="360"/>
      </w:pPr>
      <w:r>
        <w:rPr>
          <w:rFonts w:ascii="Consolas" w:cs="Consolas" w:eastAsia="Consolas" w:hAnsi="Consolas"/>
          <w:sz w:val="20"/>
          <w:szCs w:val="20"/>
        </w:rPr>
        <w:t xml:space="preserve">                        'EOL')</w:t>
      </w:r>
    </w:p>
    <w:p>
      <w:pPr>
        <w:shd w:fill="F4F4F4" w:val="clear"/>
        <w:spacing w:after="60" w:before="30"/>
        <w:ind w:left="360"/>
      </w:pPr>
      <w:r>
        <w:rPr>
          <w:rFonts w:ascii="Consolas" w:cs="Consolas" w:eastAsia="Consolas" w:hAnsi="Consolas"/>
          <w:sz w:val="20"/>
          <w:szCs w:val="20"/>
        </w:rPr>
        <w:t xml:space="preserve">                w.writerow([cab, n, score, ...])</w:t>
      </w:r>
    </w:p>
    <w:p>
      <w:pPr>
        <w:spacing w:after="80"/>
      </w:pPr>
      <w:r>
        <w:t xml:space="preserve"/>
      </w:r>
    </w:p>
    <w:p>
      <w:r>
        <w:br w:type="page"/>
      </w:r>
    </w:p>
    <w:p>
      <w:pPr>
        <w:pStyle w:val="Heading1"/>
        <w:spacing w:after="200" w:before="360"/>
      </w:pPr>
      <w:r>
        <w:t xml:space="preserve">7. Replacement and Capital Planning</w:t>
      </w:r>
    </w:p>
    <w:p>
      <w:pPr>
        <w:pStyle w:val="Heading2"/>
        <w:spacing w:after="160" w:before="280"/>
      </w:pPr>
      <w:r>
        <w:t xml:space="preserve">7.1 Decision Framework</w:t>
      </w:r>
    </w:p>
    <w:p>
      <w:pPr>
        <w:spacing w:after="100"/>
      </w:pPr>
      <w:r>
        <w:t xml:space="preserve">When IGBT modules approach end-of-life, the operator faces a sequence of decisions about what to replace, when, and how. The decision tree below provides a structured approach.</w:t>
      </w:r>
    </w:p>
    <w:p>
      <w:pPr>
        <w:pStyle w:val="Heading3"/>
        <w:spacing w:after="120" w:before="220"/>
      </w:pPr>
      <w:r>
        <w:t xml:space="preserve">7.1.1 Single Node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Condition</w:t>
            </w:r>
          </w:p>
        </w:tc>
        <w:tc>
          <w:tcPr>
            <w:tcW w:type="dxa" w:w="49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Recommended Action</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First FRAMA on a node, fleet otherwise healthy</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Replace failed module; investigate root cause; continue normal operation</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Multiple FRAMA on same node within 12 months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Replace entire power-electronics assembly for that node; review cabinet cooling</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FRAMA + thermal events on same node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Combined power-electronics + cooling refurbishment for that node</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Multiple nodes with FRAMA events in same cabinet within 12 months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Cabinet-level refurbishment review; check shared cooling, DC bus, control electronics</w:t>
            </w:r>
          </w:p>
        </w:tc>
      </w:tr>
    </w:tbl>
    <w:p>
      <w:pPr>
        <w:spacing w:after="80"/>
      </w:pPr>
      <w:r>
        <w:t xml:space="preserve"/>
      </w:r>
    </w:p>
    <w:p>
      <w:pPr>
        <w:pStyle w:val="Heading3"/>
        <w:spacing w:after="120" w:before="220"/>
      </w:pPr>
      <w:r>
        <w:t xml:space="preserve">7.1.2 Fleet-Level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Condition</w:t>
            </w:r>
          </w:p>
        </w:tc>
        <w:tc>
          <w:tcPr>
            <w:tcW w:type="dxa" w:w="49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Recommended Action</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 5% of fleet showing aging signs</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Reactive replacement; standard spares program</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5–15% of fleet showing aging</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Proactive replacement of worst nodes; build inventory of modules</w:t>
            </w:r>
          </w:p>
        </w:tc>
      </w:tr>
      <w:tr>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15–30% of fleet showing aging</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Plan systematic refurbishment campaign over 2–3 years</w:t>
            </w:r>
          </w:p>
        </w:tc>
      </w:tr>
      <w:tr>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&gt; 30% of fleet showing aging</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Evaluate full inverter replacement vs. continued operation</w:t>
            </w:r>
          </w:p>
        </w:tc>
      </w:tr>
    </w:tbl>
    <w:p>
      <w:pPr>
        <w:spacing w:after="80"/>
      </w:pPr>
      <w:r>
        <w:t xml:space="preserve"/>
      </w:r>
    </w:p>
    <w:p>
      <w:pPr>
        <w:pStyle w:val="Heading2"/>
        <w:spacing w:after="160" w:before="280"/>
      </w:pPr>
      <w:r>
        <w:t xml:space="preserve">7.2 Replacement Options</w:t>
      </w:r>
    </w:p>
    <w:p>
      <w:pPr>
        <w:pStyle w:val="Heading3"/>
        <w:spacing w:after="120" w:before="220"/>
      </w:pPr>
      <w:r>
        <w:t xml:space="preserve">7.2.1 Option A — Module-Level Replacement</w:t>
      </w:r>
    </w:p>
    <w:p>
      <w:pPr>
        <w:pStyle w:val="ListParagraph"/>
        <w:numPr>
          <w:ilvl w:val="0"/>
          <w:numId w:val="2"/>
        </w:numPr>
        <w:spacing w:after="60"/>
      </w:pPr>
      <w:r>
        <w:t xml:space="preserve">Scope: replace failed IGBT module(s) within an existing power assembly</w:t>
      </w:r>
    </w:p>
    <w:p>
      <w:pPr>
        <w:pStyle w:val="ListParagraph"/>
        <w:numPr>
          <w:ilvl w:val="0"/>
          <w:numId w:val="2"/>
        </w:numPr>
        <w:spacing w:after="60"/>
      </w:pPr>
      <w:r>
        <w:t xml:space="preserve">Cost: lowest per failure event</w:t>
      </w:r>
    </w:p>
    <w:p>
      <w:pPr>
        <w:pStyle w:val="ListParagraph"/>
        <w:numPr>
          <w:ilvl w:val="0"/>
          <w:numId w:val="2"/>
        </w:numPr>
        <w:spacing w:after="60"/>
      </w:pPr>
      <w:r>
        <w:t xml:space="preserve">Lead time: depends on parts availability — increasingly difficult for 2013-era modules</w:t>
      </w:r>
    </w:p>
    <w:p>
      <w:pPr>
        <w:pStyle w:val="ListParagraph"/>
        <w:numPr>
          <w:ilvl w:val="0"/>
          <w:numId w:val="2"/>
        </w:numPr>
        <w:spacing w:after="60"/>
      </w:pPr>
      <w:r>
        <w:t xml:space="preserve">Best when: fleet is mostly healthy, individual failures are rare, parts are available</w:t>
      </w:r>
    </w:p>
    <w:p>
      <w:pPr>
        <w:pStyle w:val="ListParagraph"/>
        <w:numPr>
          <w:ilvl w:val="0"/>
          <w:numId w:val="2"/>
        </w:numPr>
        <w:spacing w:after="60"/>
      </w:pPr>
      <w:r>
        <w:t xml:space="preserve">Watch out for: counterfeit or refurbished modules of unknown provenance — only use Ingeteam-supplied parts or qualified refurbishers</w:t>
      </w:r>
    </w:p>
    <w:p>
      <w:pPr>
        <w:pStyle w:val="Heading3"/>
        <w:spacing w:after="120" w:before="220"/>
      </w:pPr>
      <w:r>
        <w:t xml:space="preserve">7.2.2 Option B — Power Assembly Replacement</w:t>
      </w:r>
    </w:p>
    <w:p>
      <w:pPr>
        <w:pStyle w:val="ListParagraph"/>
        <w:numPr>
          <w:ilvl w:val="0"/>
          <w:numId w:val="2"/>
        </w:numPr>
        <w:spacing w:after="60"/>
      </w:pPr>
      <w:r>
        <w:t xml:space="preserve">Scope: replace the full power electronics assembly within a node (one of the 4 nodes per cabinet)</w:t>
      </w:r>
    </w:p>
    <w:p>
      <w:pPr>
        <w:pStyle w:val="ListParagraph"/>
        <w:numPr>
          <w:ilvl w:val="0"/>
          <w:numId w:val="2"/>
        </w:numPr>
        <w:spacing w:after="60"/>
      </w:pPr>
      <w:r>
        <w:t xml:space="preserve">Cost: higher than module-level, but cleaner and more reliable</w:t>
      </w:r>
    </w:p>
    <w:p>
      <w:pPr>
        <w:pStyle w:val="ListParagraph"/>
        <w:numPr>
          <w:ilvl w:val="0"/>
          <w:numId w:val="2"/>
        </w:numPr>
        <w:spacing w:after="60"/>
      </w:pPr>
      <w:r>
        <w:t xml:space="preserve">Lead time: longer; may require Ingeteam coordination</w:t>
      </w:r>
    </w:p>
    <w:p>
      <w:pPr>
        <w:pStyle w:val="ListParagraph"/>
        <w:numPr>
          <w:ilvl w:val="0"/>
          <w:numId w:val="2"/>
        </w:numPr>
        <w:spacing w:after="60"/>
      </w:pPr>
      <w:r>
        <w:t xml:space="preserve">Best when: a node has experienced multiple failures or has comprehensive aging across its modules</w:t>
      </w:r>
    </w:p>
    <w:p>
      <w:pPr>
        <w:pStyle w:val="Heading3"/>
        <w:spacing w:after="120" w:before="220"/>
      </w:pPr>
      <w:r>
        <w:t xml:space="preserve">7.2.3 Option C — Cabinet-Level Refurbishment</w:t>
      </w:r>
    </w:p>
    <w:p>
      <w:pPr>
        <w:pStyle w:val="ListParagraph"/>
        <w:numPr>
          <w:ilvl w:val="0"/>
          <w:numId w:val="2"/>
        </w:numPr>
        <w:spacing w:after="60"/>
      </w:pPr>
      <w:r>
        <w:t xml:space="preserve">Scope: refurbish all 4 nodes within a cabinet, plus shared electronics, cooling, capacitors</w:t>
      </w:r>
    </w:p>
    <w:p>
      <w:pPr>
        <w:pStyle w:val="ListParagraph"/>
        <w:numPr>
          <w:ilvl w:val="0"/>
          <w:numId w:val="2"/>
        </w:numPr>
        <w:spacing w:after="60"/>
      </w:pPr>
      <w:r>
        <w:t xml:space="preserve">Cost: significant; comparable to a fraction of new-cabinet cost</w:t>
      </w:r>
    </w:p>
    <w:p>
      <w:pPr>
        <w:pStyle w:val="ListParagraph"/>
        <w:numPr>
          <w:ilvl w:val="0"/>
          <w:numId w:val="2"/>
        </w:numPr>
        <w:spacing w:after="60"/>
      </w:pPr>
      <w:r>
        <w:t xml:space="preserve">Lead time: weeks of plant downtime per cabinet (rolling schedule across the 27 cabinets)</w:t>
      </w:r>
    </w:p>
    <w:p>
      <w:pPr>
        <w:pStyle w:val="ListParagraph"/>
        <w:numPr>
          <w:ilvl w:val="0"/>
          <w:numId w:val="2"/>
        </w:numPr>
        <w:spacing w:after="60"/>
      </w:pPr>
      <w:r>
        <w:t xml:space="preserve">Best when: multiple nodes in a cabinet are aging similarly; supports remaining plant life of 5–10 years</w:t>
      </w:r>
    </w:p>
    <w:p>
      <w:pPr>
        <w:pStyle w:val="Heading3"/>
        <w:spacing w:after="120" w:before="220"/>
      </w:pPr>
      <w:r>
        <w:t xml:space="preserve">7.2.4 Option D — Full Inverter Replacement</w:t>
      </w:r>
    </w:p>
    <w:p>
      <w:pPr>
        <w:pStyle w:val="ListParagraph"/>
        <w:numPr>
          <w:ilvl w:val="0"/>
          <w:numId w:val="2"/>
        </w:numPr>
        <w:spacing w:after="60"/>
      </w:pPr>
      <w:r>
        <w:t xml:space="preserve">Scope: replace entire INGETEAM cabinet with a new-generation inverter</w:t>
      </w:r>
    </w:p>
    <w:p>
      <w:pPr>
        <w:pStyle w:val="ListParagraph"/>
        <w:numPr>
          <w:ilvl w:val="0"/>
          <w:numId w:val="2"/>
        </w:numPr>
        <w:spacing w:after="60"/>
      </w:pPr>
      <w:r>
        <w:t xml:space="preserve">Cost: largest single investment; comparable to original inverter purchase price</w:t>
      </w:r>
    </w:p>
    <w:p>
      <w:pPr>
        <w:pStyle w:val="ListParagraph"/>
        <w:numPr>
          <w:ilvl w:val="0"/>
          <w:numId w:val="2"/>
        </w:numPr>
        <w:spacing w:after="60"/>
      </w:pPr>
      <w:r>
        <w:t xml:space="preserve">Benefits: modern grid-code compliance, better efficiency (1–2% improvement is typical), modern monitoring and PPC integration, 20+ year fresh life</w:t>
      </w:r>
    </w:p>
    <w:p>
      <w:pPr>
        <w:pStyle w:val="ListParagraph"/>
        <w:numPr>
          <w:ilvl w:val="0"/>
          <w:numId w:val="2"/>
        </w:numPr>
        <w:spacing w:after="60"/>
      </w:pPr>
      <w:r>
        <w:t xml:space="preserve">Best when: fleet has reached majority aging signals AND there is value in modernization (e.g., better grid-code support, PPC integration, plant expansion)</w:t>
      </w:r>
    </w:p>
    <w:p>
      <w:r>
        <w:br w:type="page"/>
      </w:r>
    </w:p>
    <w:p>
      <w:pPr>
        <w:pStyle w:val="Heading2"/>
        <w:spacing w:after="160" w:before="280"/>
      </w:pPr>
      <w:r>
        <w:t xml:space="preserve">7.3 Capital Planning Horizon</w:t>
      </w:r>
    </w:p>
    <w:p>
      <w:pPr>
        <w:spacing w:after="100"/>
      </w:pPr>
      <w:r>
        <w:t xml:space="preserve">For a fleet of 2013-era INGETEAM inverters, a realistic capital planning horizon spans the next decade. Below is a generic timeline; actual events depend heavily on monitoring data and operating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Horizon</w:t>
            </w:r>
          </w:p>
        </w:tc>
        <w:tc>
          <w:tcPr>
            <w:tcW w:type="dxa" w:w="35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Typical Activity</w:t>
            </w:r>
          </w:p>
        </w:tc>
        <w:tc>
          <w:tcPr>
            <w:tcW w:type="dxa" w:w="34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Capital Order of Magnitude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Years 12–14 (now for ADSI)</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Spare module inventory; first proactive replacements; fleet health baseline established</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Operating expense; small capex for spares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Years 14–17</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Targeted node refurbishments; first cabinet-level work; second-generation spare sourcing</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Mid capex; multiple node refurbishments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Years 17–20</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Major refurbishment OR full replacement decision point</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Large capex; refurbishment program or replacement campaign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Years 20+</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Full inverter replacement campaign typical</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Largest capex; comparable to original equipment cost</w:t>
            </w:r>
          </w:p>
        </w:tc>
      </w:tr>
    </w:tbl>
    <w:p>
      <w:pPr>
        <w:spacing w:after="80"/>
      </w:pPr>
      <w:r>
        <w:t xml:space="preserve"/>
      </w:r>
    </w:p>
    <w:p>
      <w:pPr>
        <w:pStyle w:val="Heading2"/>
        <w:spacing w:after="160" w:before="280"/>
      </w:pPr>
      <w:r>
        <w:t xml:space="preserve">7.4 Cost-of-Inaction Considerations</w:t>
      </w:r>
    </w:p>
    <w:p>
      <w:pPr>
        <w:spacing w:after="100"/>
      </w:pPr>
      <w:r>
        <w:t xml:space="preserve">Plants that defer IGBT-aging capital planning typically experience some combination of:</w:t>
      </w:r>
    </w:p>
    <w:p>
      <w:pPr>
        <w:pStyle w:val="ListParagraph"/>
        <w:numPr>
          <w:ilvl w:val="0"/>
          <w:numId w:val="2"/>
        </w:numPr>
        <w:spacing w:after="60"/>
      </w:pPr>
      <w:r>
        <w:t xml:space="preserve">Emergency replacement at premium prices when failures occur unexpectedly</w:t>
      </w:r>
    </w:p>
    <w:p>
      <w:pPr>
        <w:pStyle w:val="ListParagraph"/>
        <w:numPr>
          <w:ilvl w:val="0"/>
          <w:numId w:val="2"/>
        </w:numPr>
        <w:spacing w:after="60"/>
      </w:pPr>
      <w:r>
        <w:t xml:space="preserve">Extended outages waiting for parts (3–6 months for obsolete modules is common)</w:t>
      </w:r>
    </w:p>
    <w:p>
      <w:pPr>
        <w:pStyle w:val="ListParagraph"/>
        <w:numPr>
          <w:ilvl w:val="0"/>
          <w:numId w:val="2"/>
        </w:numPr>
        <w:spacing w:after="60"/>
      </w:pPr>
      <w:r>
        <w:t xml:space="preserve">Lost generation revenue during outages — at WESM rates, a 1 MW outage for 30 days is significant lost revenue</w:t>
      </w:r>
    </w:p>
    <w:p>
      <w:pPr>
        <w:pStyle w:val="ListParagraph"/>
        <w:numPr>
          <w:ilvl w:val="0"/>
          <w:numId w:val="2"/>
        </w:numPr>
        <w:spacing w:after="60"/>
      </w:pPr>
      <w:r>
        <w:t xml:space="preserve">Cascading failures within a cabinet when one module's failure stresses the others</w:t>
      </w:r>
    </w:p>
    <w:p>
      <w:pPr>
        <w:pStyle w:val="ListParagraph"/>
        <w:numPr>
          <w:ilvl w:val="0"/>
          <w:numId w:val="2"/>
        </w:numPr>
        <w:spacing w:after="60"/>
      </w:pPr>
      <w:r>
        <w:t xml:space="preserve">Insurance and warranty complications when failures cluster</w:t>
      </w:r>
    </w:p>
    <w:p>
      <w:pPr>
        <w:pStyle w:val="ListParagraph"/>
        <w:numPr>
          <w:ilvl w:val="0"/>
          <w:numId w:val="2"/>
        </w:numPr>
        <w:spacing w:after="60"/>
      </w:pPr>
      <w:r>
        <w:t xml:space="preserve">Forecast deviation penalties under WESM if forecast accuracy degrades due to repeated outages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The case for proactive monitoring</w:t>
            </w:r>
          </w:p>
          <w:p>
            <w:pPr>
              <w:spacing w:after="60"/>
            </w:pPr>
            <w:r>
              <w:rPr>
                <w:sz w:val="20"/>
                <w:szCs w:val="20"/>
              </w:rPr>
              <w:t xml:space="preserve">The ADSI plant has the equipment in place to monitor IGBT health: the INGETEAM Modbus telemetry already exposes the leading indicators, and a custom dashboard already reads the inverters.</w:t>
            </w:r>
          </w:p>
          <w:p>
            <w:pPr>
              <w:spacing w:after="60"/>
            </w:pPr>
            <w:r>
              <w:rPr>
                <w:sz w:val="20"/>
                <w:szCs w:val="20"/>
              </w:rPr>
              <w:t xml:space="preserve">What's needed is the analytical layer — the trending, the health scoring, the fleet reporting — built on top of the telemetry that already exists.</w:t>
            </w:r>
          </w:p>
          <w:p>
            <w:pPr>
              <w:spacing w:after="60"/>
            </w:pPr>
            <w:r>
              <w:rPr>
                <w:sz w:val="20"/>
                <w:szCs w:val="20"/>
              </w:rPr>
              <w:t xml:space="preserve">This is a high-leverage activity. A few engineering-days of work per quarter to maintain the health monitoring becomes the input that drives multi-million-peso capital decisions correctly. Skipping this work doesn't save money; it shifts the costs to emergency replacement and lost generation later.</w:t>
            </w:r>
          </w:p>
        </w:tc>
      </w:tr>
    </w:tbl>
    <w:p>
      <w:r>
        <w:br w:type="page"/>
      </w:r>
    </w:p>
    <w:p>
      <w:pPr>
        <w:pStyle w:val="Heading1"/>
        <w:spacing w:after="200" w:before="360"/>
      </w:pPr>
      <w:r>
        <w:t xml:space="preserve">8. Specific Recommendations for ADSI</w:t>
      </w:r>
    </w:p>
    <w:p>
      <w:pPr>
        <w:spacing w:after="100"/>
      </w:pPr>
      <w:r>
        <w:t xml:space="preserve">This chapter consolidates the operational implications of IGBT aging into specific, actionable recommendations for the ADSI 24.84 MW Digos plant. These are intended as input to plant management discussions, not as unilateral commitments.</w:t>
      </w:r>
    </w:p>
    <w:p>
      <w:pPr>
        <w:pStyle w:val="Heading2"/>
        <w:spacing w:after="160" w:before="280"/>
      </w:pPr>
      <w:r>
        <w:t xml:space="preserve">8.1 Immediate Actions (Next 30 Days)</w:t>
      </w:r>
    </w:p>
    <w:p>
      <w:pPr>
        <w:pStyle w:val="ListParagraph"/>
        <w:numPr>
          <w:ilvl w:val="0"/>
          <w:numId w:val="3"/>
        </w:numPr>
        <w:spacing w:after="60"/>
      </w:pPr>
      <w:r>
        <w:t xml:space="preserve">Pull the complete stop-reason history from all 108 nodes. Tabulate FRAMA, TEMPERATURA, and PI_ANA event counts per node. This becomes the fleet aging baseline.</w:t>
      </w:r>
    </w:p>
    <w:p>
      <w:pPr>
        <w:pStyle w:val="ListParagraph"/>
        <w:numPr>
          <w:ilvl w:val="0"/>
          <w:numId w:val="3"/>
        </w:numPr>
        <w:spacing w:after="60"/>
      </w:pPr>
      <w:r>
        <w:t xml:space="preserve">Identify the worst-aging nodes from the baseline and put them on a watch list with daily alerting on FRAMA, multi-alarm events, and thermal excursions.</w:t>
      </w:r>
    </w:p>
    <w:p>
      <w:pPr>
        <w:pStyle w:val="ListParagraph"/>
        <w:numPr>
          <w:ilvl w:val="0"/>
          <w:numId w:val="3"/>
        </w:numPr>
        <w:spacing w:after="60"/>
      </w:pPr>
      <w:r>
        <w:t xml:space="preserve">Document the current spare-parts inventory: what IGBT modules and replacement assemblies are on hand at the plant or available from Ingeteam Philippines.</w:t>
      </w:r>
    </w:p>
    <w:p>
      <w:pPr>
        <w:pStyle w:val="ListParagraph"/>
        <w:numPr>
          <w:ilvl w:val="0"/>
          <w:numId w:val="3"/>
        </w:numPr>
        <w:spacing w:after="60"/>
      </w:pPr>
      <w:r>
        <w:t xml:space="preserve">Verify cabinet cooling health: filter cleanliness, fan operation, intake/exhaust path integrity. Cooling degradation accelerates IGBT aging and is the lowest-cost mitigation.</w:t>
      </w:r>
    </w:p>
    <w:p>
      <w:pPr>
        <w:pStyle w:val="Heading2"/>
        <w:spacing w:after="160" w:before="280"/>
      </w:pPr>
      <w:r>
        <w:t xml:space="preserve">8.2 Near-Term Actions (Next 3–6 Months)</w:t>
      </w:r>
    </w:p>
    <w:p>
      <w:pPr>
        <w:pStyle w:val="ListParagraph"/>
        <w:numPr>
          <w:ilvl w:val="0"/>
          <w:numId w:val="3"/>
        </w:numPr>
        <w:spacing w:after="60"/>
      </w:pPr>
      <w:r>
        <w:t xml:space="preserve">Build a thermal trending baseline using register 30072 across all 108 nodes, with the matched-conditions filtering described in §5.2.</w:t>
      </w:r>
    </w:p>
    <w:p>
      <w:pPr>
        <w:pStyle w:val="ListParagraph"/>
        <w:numPr>
          <w:ilvl w:val="0"/>
          <w:numId w:val="3"/>
        </w:numPr>
        <w:spacing w:after="60"/>
      </w:pPr>
      <w:r>
        <w:t xml:space="preserve">Implement the health score calculation (§5.3, §6.5) and produce a monthly fleet health report.</w:t>
      </w:r>
    </w:p>
    <w:p>
      <w:pPr>
        <w:pStyle w:val="ListParagraph"/>
        <w:numPr>
          <w:ilvl w:val="0"/>
          <w:numId w:val="3"/>
        </w:numPr>
        <w:spacing w:after="60"/>
      </w:pPr>
      <w:r>
        <w:t xml:space="preserve">Engage Ingeteam Philippines for a current-state spare parts and refurbishment quote covering the most likely 2-year replacement scenarios.</w:t>
      </w:r>
    </w:p>
    <w:p>
      <w:pPr>
        <w:pStyle w:val="ListParagraph"/>
        <w:numPr>
          <w:ilvl w:val="0"/>
          <w:numId w:val="3"/>
        </w:numPr>
        <w:spacing w:after="60"/>
      </w:pPr>
      <w:r>
        <w:t xml:space="preserve">Document the current IGBT module part numbers, manufacturing dates, and any supply chain risks (obsolete parts, single-source suppliers).</w:t>
      </w:r>
    </w:p>
    <w:p>
      <w:pPr>
        <w:pStyle w:val="Heading2"/>
        <w:spacing w:after="160" w:before="280"/>
      </w:pPr>
      <w:r>
        <w:t xml:space="preserve">8.3 Medium-Term Actions (Next 12 Months)</w:t>
      </w:r>
    </w:p>
    <w:p>
      <w:pPr>
        <w:pStyle w:val="ListParagraph"/>
        <w:numPr>
          <w:ilvl w:val="0"/>
          <w:numId w:val="3"/>
        </w:numPr>
        <w:spacing w:after="60"/>
      </w:pPr>
      <w:r>
        <w:t xml:space="preserve">Produce the first annual capital planning input report (§5.4) with fleet health status, failure forecast, and recommended capital strategy.</w:t>
      </w:r>
    </w:p>
    <w:p>
      <w:pPr>
        <w:pStyle w:val="ListParagraph"/>
        <w:numPr>
          <w:ilvl w:val="0"/>
          <w:numId w:val="3"/>
        </w:numPr>
        <w:spacing w:after="60"/>
      </w:pPr>
      <w:r>
        <w:t xml:space="preserve">Conduct a fleet-wide on-site inspection campaign: thermal imaging during peak operation, visual inspection of each cabinet, electrical testing of selected nodes.</w:t>
      </w:r>
    </w:p>
    <w:p>
      <w:pPr>
        <w:pStyle w:val="ListParagraph"/>
        <w:numPr>
          <w:ilvl w:val="0"/>
          <w:numId w:val="3"/>
        </w:numPr>
        <w:spacing w:after="60"/>
      </w:pPr>
      <w:r>
        <w:t xml:space="preserve">Establish a written spare-parts and replacement strategy approved by plant management, with budget allocations and supply-chain commitments.</w:t>
      </w:r>
    </w:p>
    <w:p>
      <w:pPr>
        <w:pStyle w:val="ListParagraph"/>
        <w:numPr>
          <w:ilvl w:val="0"/>
          <w:numId w:val="3"/>
        </w:numPr>
        <w:spacing w:after="60"/>
      </w:pPr>
      <w:r>
        <w:t xml:space="preserve">If replacement is in scope, begin engagement with potential vendors (Ingeteam direct; or alternative inverter suppliers if full replacement is being considered).</w:t>
      </w:r>
    </w:p>
    <w:p>
      <w:pPr>
        <w:pStyle w:val="Heading2"/>
        <w:spacing w:after="160" w:before="280"/>
      </w:pPr>
      <w:r>
        <w:t xml:space="preserve">8.4 Long-Term Strategic Considerations</w:t>
      </w:r>
    </w:p>
    <w:p>
      <w:pPr>
        <w:spacing w:after="100"/>
      </w:pPr>
      <w:r>
        <w:t xml:space="preserve">For ADSI specifically, several factors converge that argue for a proactive rather than reactive approach to IGBT aging:</w:t>
      </w:r>
    </w:p>
    <w:p>
      <w:pPr>
        <w:pStyle w:val="ListParagraph"/>
        <w:numPr>
          <w:ilvl w:val="0"/>
          <w:numId w:val="2"/>
        </w:numPr>
        <w:spacing w:after="60"/>
      </w:pPr>
      <w:r>
        <w:t xml:space="preserve">Plant connection at transmission-class voltage means failures have outsized operational impact (more attention from NGCP and WESM than smaller plants).</w:t>
      </w:r>
    </w:p>
    <w:p>
      <w:pPr>
        <w:pStyle w:val="ListParagraph"/>
        <w:numPr>
          <w:ilvl w:val="0"/>
          <w:numId w:val="2"/>
        </w:numPr>
        <w:spacing w:after="60"/>
      </w:pPr>
      <w:r>
        <w:t xml:space="preserve">Existing PPC and SCADA gaps already pose compliance risk — adding inverter-aging risk on top compounds the situation.</w:t>
      </w:r>
    </w:p>
    <w:p>
      <w:pPr>
        <w:pStyle w:val="ListParagraph"/>
        <w:numPr>
          <w:ilvl w:val="0"/>
          <w:numId w:val="2"/>
        </w:numPr>
        <w:spacing w:after="60"/>
      </w:pPr>
      <w:r>
        <w:t xml:space="preserve">The dashboard already in place provides the monitoring foundation; only the analytical layer needs to be built out.</w:t>
      </w:r>
    </w:p>
    <w:p>
      <w:pPr>
        <w:pStyle w:val="ListParagraph"/>
        <w:numPr>
          <w:ilvl w:val="0"/>
          <w:numId w:val="2"/>
        </w:numPr>
        <w:spacing w:after="60"/>
      </w:pPr>
      <w:r>
        <w:t xml:space="preserve">Mindanao climate puts inverters in the higher-stress operating envelope; aging will progress faster than in temperate-climate plants.</w:t>
      </w:r>
    </w:p>
    <w:p>
      <w:pPr>
        <w:pStyle w:val="ListParagraph"/>
        <w:numPr>
          <w:ilvl w:val="0"/>
          <w:numId w:val="2"/>
        </w:numPr>
        <w:spacing w:after="60"/>
      </w:pPr>
      <w:r>
        <w:t xml:space="preserve">Capital planning horizons of 5–10 years for power generation assets are normal; not having one is unusual and a risk in itself.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4EDDA" w:val="clear"/>
            <w:tcMar>
              <w:top w:type="dxa" w:w="120"/>
              <w:left w:type="dxa" w:w="200"/>
              <w:bottom w:type="dxa" w:w="120"/>
              <w:right w:type="dxa" w:w="200"/>
            </w:tcMar>
          </w:tcPr>
          <w:p>
            <w:pPr>
              <w:spacing w:after="80"/>
            </w:pPr>
            <w:r>
              <w:rPr>
                <w:b/>
                <w:bCs/>
                <w:sz w:val="22"/>
                <w:szCs w:val="22"/>
              </w:rPr>
              <w:t xml:space="preserve">On the role of the inverter engineer</w:t>
            </w:r>
          </w:p>
          <w:p>
            <w:pPr>
              <w:spacing w:after="60"/>
            </w:pPr>
            <w:r>
              <w:rPr>
                <w:sz w:val="20"/>
                <w:szCs w:val="20"/>
              </w:rPr>
              <w:t xml:space="preserve">Building the analytical layer for IGBT health monitoring is a natural extension of the existing dashboard work. It's the same telemetry, reorganized to answer different questions: not just 'what's the plant doing now?' but 'what does the plant need from me over the next few years?'</w:t>
            </w:r>
          </w:p>
          <w:p>
            <w:pPr>
              <w:spacing w:after="60"/>
            </w:pPr>
            <w:r>
              <w:rPr>
                <w:sz w:val="20"/>
                <w:szCs w:val="20"/>
              </w:rPr>
              <w:t xml:space="preserve">Done well, this transforms the inverter engineer role from purely reactive (responding to alarms) to strategic (informing capital decisions). It also strengthens the case for the maintenance-allowance discussion by demonstrating direct value to capital planning, not just to operations.</w:t>
            </w:r>
          </w:p>
          <w:p>
            <w:pPr>
              <w:spacing w:after="60"/>
            </w:pPr>
            <w:r>
              <w:rPr>
                <w:sz w:val="20"/>
                <w:szCs w:val="20"/>
              </w:rPr>
              <w:t xml:space="preserve">The work proposed in this document is bounded — a few engineering-days per quarter — and produces output that is high-leverage and visible to plant management. It is one of the highest-impact activities an inverter engineer at a plant of this vintage can undertake.</w:t>
            </w:r>
          </w:p>
        </w:tc>
      </w:tr>
    </w:tbl>
    <w:p>
      <w:r>
        <w:br w:type="page"/>
      </w:r>
    </w:p>
    <w:p>
      <w:pPr>
        <w:pStyle w:val="Heading1"/>
        <w:spacing w:after="200" w:before="360"/>
      </w:pPr>
      <w:r>
        <w:t xml:space="preserve">Appendix A — IGBT Aging Quick-Reference Card</w:t>
      </w:r>
    </w:p>
    <w:p>
      <w:pPr>
        <w:pStyle w:val="Heading2"/>
        <w:spacing w:after="160" w:before="280"/>
      </w:pPr>
      <w:r>
        <w:t xml:space="preserve">A.1 Symptom-to-Stage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rPr>
          <w:tblHeader/>
        </w:trPr>
        <w:tc>
          <w:tcPr>
            <w:tcW w:type="dxa" w:w="15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Stage</w:t>
            </w:r>
          </w:p>
        </w:tc>
        <w:tc>
          <w:tcPr>
            <w:tcW w:type="dxa" w:w="25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Primary Symptom</w:t>
            </w:r>
          </w:p>
        </w:tc>
        <w:tc>
          <w:tcPr>
            <w:tcW w:type="dxa" w:w="30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Modbus Indicator</w:t>
            </w:r>
          </w:p>
        </w:tc>
        <w:tc>
          <w:tcPr>
            <w:tcW w:type="dxa" w:w="23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Time to Failure</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Early aging</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Rising temp for same load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30072 trend ≥ 3 °C YoY</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Years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Mid-stage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Occasional thermal trips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Stop reason 7</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Months to years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Mid-stage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Phase imbalance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Iac1/2/3 stddev &gt; 5%</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Months to years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Mid-stage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Current control issues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Stop reason 26 (PI_ANA)</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Months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Late stage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First FRAMA event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Stop reason 13/29/30</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Weeks to months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Late stage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Repeated FRAMA on same branch</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Multiple stop history slots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Days to weeks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Imminent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Multi-alarm events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Multiple alarm bits set simultaneously</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Imminent</w:t>
            </w:r>
          </w:p>
        </w:tc>
      </w:tr>
    </w:tbl>
    <w:p>
      <w:pPr>
        <w:spacing w:after="80"/>
      </w:pPr>
      <w:r>
        <w:t xml:space="preserve"/>
      </w:r>
    </w:p>
    <w:p>
      <w:pPr>
        <w:pStyle w:val="Heading2"/>
        <w:spacing w:after="160" w:before="280"/>
      </w:pPr>
      <w:r>
        <w:t xml:space="preserve">A.2 Action-by-Stage Quick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Stage</w:t>
            </w:r>
          </w:p>
        </w:tc>
        <w:tc>
          <w:tcPr>
            <w:tcW w:type="dxa" w:w="71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Recommended Action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Healthy</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Standard monitoring; routine inspection annually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Watch</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Increased polling; cooling system check</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Concern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Cabinet inspection; thermal imaging; budget for replacement within 24 months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Aging</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Service intervention; spares on hand; replacement priority list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End-of-life imminent</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Active monitoring; replacement scheduled within 6 months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Catastrophic failure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Take node out of service; replace; investigate cabinet-wide</w:t>
            </w:r>
          </w:p>
        </w:tc>
      </w:tr>
    </w:tbl>
    <w:p>
      <w:pPr>
        <w:spacing w:after="80"/>
      </w:pPr>
      <w:r>
        <w:t xml:space="preserve"/>
      </w:r>
    </w:p>
    <w:p>
      <w:r>
        <w:br w:type="page"/>
      </w:r>
    </w:p>
    <w:p>
      <w:pPr>
        <w:pStyle w:val="Heading1"/>
        <w:spacing w:after="200" w:before="360"/>
      </w:pPr>
      <w:r>
        <w:t xml:space="preserve">Appendix B — Failed-Module Investigation Checklist</w:t>
      </w:r>
    </w:p>
    <w:p>
      <w:pPr>
        <w:spacing w:after="100"/>
      </w:pPr>
      <w:r>
        <w:t xml:space="preserve">When a module fails (FRAMA event, catastrophic failure, etc.), use this checklist to extract the maximum diagnostic information before scheduling replacement work.</w:t>
      </w:r>
    </w:p>
    <w:p>
      <w:pPr>
        <w:pStyle w:val="ListParagraph"/>
        <w:numPr>
          <w:ilvl w:val="0"/>
          <w:numId w:val="3"/>
        </w:numPr>
        <w:spacing w:after="60"/>
      </w:pPr>
      <w:r>
        <w:t xml:space="preserve">Pull complete stop-reason history from the failed node (5 most recent events with timestamps).</w:t>
      </w:r>
    </w:p>
    <w:p>
      <w:pPr>
        <w:pStyle w:val="ListParagraph"/>
        <w:numPr>
          <w:ilvl w:val="0"/>
          <w:numId w:val="3"/>
        </w:numPr>
        <w:spacing w:after="60"/>
      </w:pPr>
      <w:r>
        <w:t xml:space="preserve">Pull the failed node's alarm word at the time of the event (registers 30007/30008 or 30067/30068).</w:t>
      </w:r>
    </w:p>
    <w:p>
      <w:pPr>
        <w:pStyle w:val="ListParagraph"/>
        <w:numPr>
          <w:ilvl w:val="0"/>
          <w:numId w:val="3"/>
        </w:numPr>
        <w:spacing w:after="60"/>
      </w:pPr>
      <w:r>
        <w:t xml:space="preserve">Note the branch number from the stop reason (13 = Branch 3, 29 = Branch 1, 30 = Branch 2).</w:t>
      </w:r>
    </w:p>
    <w:p>
      <w:pPr>
        <w:pStyle w:val="ListParagraph"/>
        <w:numPr>
          <w:ilvl w:val="0"/>
          <w:numId w:val="3"/>
        </w:numPr>
        <w:spacing w:after="60"/>
      </w:pPr>
      <w:r>
        <w:t xml:space="preserve">Pull thermal history from the failed node for the 24 hours before the failure (register 30072).</w:t>
      </w:r>
    </w:p>
    <w:p>
      <w:pPr>
        <w:pStyle w:val="ListParagraph"/>
        <w:numPr>
          <w:ilvl w:val="0"/>
          <w:numId w:val="3"/>
        </w:numPr>
        <w:spacing w:after="60"/>
      </w:pPr>
      <w:r>
        <w:t xml:space="preserve">Pull insulation impedance history (registers 30070, 30071) — was DC isolation degraded?</w:t>
      </w:r>
    </w:p>
    <w:p>
      <w:pPr>
        <w:pStyle w:val="ListParagraph"/>
        <w:numPr>
          <w:ilvl w:val="0"/>
          <w:numId w:val="3"/>
        </w:numPr>
        <w:spacing w:after="60"/>
      </w:pPr>
      <w:r>
        <w:t xml:space="preserve">Note the irradiance and ambient temperature at the time of failure.</w:t>
      </w:r>
    </w:p>
    <w:p>
      <w:pPr>
        <w:pStyle w:val="ListParagraph"/>
        <w:numPr>
          <w:ilvl w:val="0"/>
          <w:numId w:val="3"/>
        </w:numPr>
        <w:spacing w:after="60"/>
      </w:pPr>
      <w:r>
        <w:t xml:space="preserve">Note any concurrent grid events from NGCP (frequency excursions, voltage events).</w:t>
      </w:r>
    </w:p>
    <w:p>
      <w:pPr>
        <w:pStyle w:val="ListParagraph"/>
        <w:numPr>
          <w:ilvl w:val="0"/>
          <w:numId w:val="3"/>
        </w:numPr>
        <w:spacing w:after="60"/>
      </w:pPr>
      <w:r>
        <w:t xml:space="preserve">Capture full Ingecon Sun Manager parameter snapshot from the failed node BEFORE replacement (the calibration constants on the original module are unique and should be archived).</w:t>
      </w:r>
    </w:p>
    <w:p>
      <w:pPr>
        <w:pStyle w:val="ListParagraph"/>
        <w:numPr>
          <w:ilvl w:val="0"/>
          <w:numId w:val="3"/>
        </w:numPr>
        <w:spacing w:after="60"/>
      </w:pPr>
      <w:r>
        <w:t xml:space="preserve">Visually inspect the failed module after removal: photograph all surfaces, note any discoloration, displacement, or damage to bond wires.</w:t>
      </w:r>
    </w:p>
    <w:p>
      <w:pPr>
        <w:pStyle w:val="ListParagraph"/>
        <w:numPr>
          <w:ilvl w:val="0"/>
          <w:numId w:val="3"/>
        </w:numPr>
        <w:spacing w:after="60"/>
      </w:pPr>
      <w:r>
        <w:t xml:space="preserve">If module is replaced under warranty, retain the failed unit per Ingeteam's return policy; if not, retain at least photos and the Modbus telemetry capture.</w:t>
      </w:r>
    </w:p>
    <w:p>
      <w:pPr>
        <w:pStyle w:val="ListParagraph"/>
        <w:numPr>
          <w:ilvl w:val="0"/>
          <w:numId w:val="3"/>
        </w:numPr>
        <w:spacing w:after="60"/>
      </w:pPr>
      <w:r>
        <w:t xml:space="preserve">After replacement, capture the new node's calibration constants and configuration baseline.</w:t>
      </w:r>
    </w:p>
    <w:p>
      <w:pPr>
        <w:pStyle w:val="ListParagraph"/>
        <w:numPr>
          <w:ilvl w:val="0"/>
          <w:numId w:val="3"/>
        </w:numPr>
        <w:spacing w:after="60"/>
      </w:pPr>
      <w:r>
        <w:t xml:space="preserve">Add the event to the plant's reliability database with full root-cause analysis.</w:t>
      </w:r>
    </w:p>
    <w:p>
      <w:pPr>
        <w:spacing w:after="80"/>
      </w:pPr>
      <w:r>
        <w:t xml:space="preserve"/>
      </w:r>
    </w:p>
    <w:p>
      <w:r>
        <w:br w:type="page"/>
      </w:r>
    </w:p>
    <w:p>
      <w:pPr>
        <w:pStyle w:val="Heading1"/>
        <w:spacing w:after="200" w:before="360"/>
      </w:pPr>
      <w: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Term</w:t>
            </w:r>
          </w:p>
        </w:tc>
        <w:tc>
          <w:tcPr>
            <w:tcW w:type="dxa" w:w="6960"/>
            <w:tcBorders>
              <w:top w:val="single" w:color="808080" w:sz="6"/>
              <w:left w:val="single" w:color="808080" w:sz="6"/>
              <w:bottom w:val="single" w:color="808080" w:sz="6"/>
              <w:right w:val="single" w:color="808080" w:sz="6"/>
            </w:tcBorders>
            <w:shd w:fill="8B0000" w:val="clear"/>
            <w:tcMar>
              <w:top w:type="dxa" w:w="100"/>
              <w:left w:type="dxa" w:w="120"/>
              <w:bottom w:type="dxa" w:w="100"/>
              <w:right w:type="dxa" w:w="120"/>
            </w:tcMar>
          </w:tcPr>
          <w:p>
            <w:r>
              <w:rPr>
                <w:b/>
                <w:bCs/>
                <w:color w:val="FFFFFF"/>
                <w:sz w:val="20"/>
                <w:szCs w:val="20"/>
              </w:rPr>
              <w:t xml:space="preserve">Definition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IGBT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Insulated-Gate Bipolar Transistor — the main power switching device in modern inverters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Bond wire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Aluminum wire (typically 300–500 μm) connecting silicon chip to package terminals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DBC</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Direct Bond Copper — ceramic-and-copper substrate that isolates and conducts heat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FRAMA</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Spanish 'rama' = branch; INGETEAM term for half-bridge phase leg failure alarm</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Bond wire lift-off</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Failure mode where bond wire detaches from chip due to thermal cycling fatigue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Solder fatigue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Failure mode where solder layer between chip and substrate develops cracks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Gate oxide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Thin SiO₂ layer separating IGBT gate from silicon — wears out with switching cycles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Coffin-Manson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Empirical fatigue model relating thermal cycle amplitude to cycles-to-failure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Bathtub curve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Reliability model with infant mortality, useful life, and wear-out phases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Thermal cycling</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Repeated heating and cooling that drives mechanical fatigue in module materials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Macro cycle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Daily sunrise-to-sunset thermal swing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Micro cycle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Sub-daily load change due to clouds, dispatch, etc.</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Desaturation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Fault condition where IGBT exits its saturated conduction state — used by protection logic to detect short circuits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End-of-life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Operational state where remaining useful life is short and replacement is prudent</w:t>
            </w:r>
          </w:p>
        </w:tc>
      </w:tr>
    </w:tbl>
    <w:p>
      <w:pPr>
        <w:spacing w:after="80"/>
      </w:pPr>
      <w:r>
        <w:t xml:space="preserve"/>
      </w:r>
    </w:p>
    <w:p>
      <w:r>
        <w:br w:type="page"/>
      </w:r>
    </w:p>
    <w:p>
      <w:pPr>
        <w:pStyle w:val="Heading1"/>
        <w:spacing w:after="200" w:before="360"/>
      </w:pPr>
      <w:r>
        <w:t xml:space="preserve">Appendix D — References and Further Reading</w:t>
      </w:r>
    </w:p>
    <w:p>
      <w:pPr>
        <w:pStyle w:val="ListParagraph"/>
        <w:numPr>
          <w:ilvl w:val="0"/>
          <w:numId w:val="2"/>
        </w:numPr>
        <w:spacing w:after="60"/>
      </w:pPr>
      <w:r>
        <w:t xml:space="preserve">Ingeteam document AAS1000ICB08_ — Three-Phase Inverter Managing Using Modbus-RTU (January 2013) — primary source for stop-reason codes and Modbus register definitions referenced throughout this document.</w:t>
      </w:r>
    </w:p>
    <w:p>
      <w:pPr>
        <w:pStyle w:val="ListParagraph"/>
        <w:numPr>
          <w:ilvl w:val="0"/>
          <w:numId w:val="2"/>
        </w:numPr>
        <w:spacing w:after="60"/>
      </w:pPr>
      <w:r>
        <w:t xml:space="preserve">Companion document: Ingeteam Modbus-RTU Manual (this fleet's monitoring reference).</w:t>
      </w:r>
    </w:p>
    <w:p>
      <w:pPr>
        <w:pStyle w:val="ListParagraph"/>
        <w:numPr>
          <w:ilvl w:val="0"/>
          <w:numId w:val="2"/>
        </w:numPr>
        <w:spacing w:after="60"/>
      </w:pPr>
      <w:r>
        <w:t xml:space="preserve">Companion document: Grid Compliance Testing Manual — PGC 2016 (test procedures for plant-level compliance).</w:t>
      </w:r>
    </w:p>
    <w:p>
      <w:pPr>
        <w:pStyle w:val="ListParagraph"/>
        <w:numPr>
          <w:ilvl w:val="0"/>
          <w:numId w:val="2"/>
        </w:numPr>
        <w:spacing w:after="60"/>
      </w:pPr>
      <w:r>
        <w:t xml:space="preserve">Industry reliability handbooks for power semiconductor modules (e.g., Semikron Application Manual, Infineon AN-2010-02 Lifetime Calculation).</w:t>
      </w:r>
    </w:p>
    <w:p>
      <w:pPr>
        <w:pStyle w:val="ListParagraph"/>
        <w:numPr>
          <w:ilvl w:val="0"/>
          <w:numId w:val="2"/>
        </w:numPr>
        <w:spacing w:after="60"/>
      </w:pPr>
      <w:r>
        <w:t xml:space="preserve">ZVEI Robustness Validation for Semiconductor Devices in Automotive Applications — relevant methodology for power-cycling lifetime modeling.</w:t>
      </w:r>
    </w:p>
    <w:p>
      <w:pPr>
        <w:pStyle w:val="ListParagraph"/>
        <w:numPr>
          <w:ilvl w:val="0"/>
          <w:numId w:val="2"/>
        </w:numPr>
        <w:spacing w:after="60"/>
      </w:pPr>
      <w:r>
        <w:t xml:space="preserve">CIGRÉ Working Group B4 papers on power electronics aging in HVDC converter stations — applicable to large solar plant power electronics.</w:t>
      </w:r>
    </w:p>
    <w:p>
      <w:pPr>
        <w:pStyle w:val="ListParagraph"/>
        <w:numPr>
          <w:ilvl w:val="0"/>
          <w:numId w:val="2"/>
        </w:numPr>
        <w:spacing w:after="60"/>
      </w:pPr>
      <w:r>
        <w:t xml:space="preserve">IEEE Transactions on Power Electronics — peer-reviewed literature on IGBT aging, condition monitoring, and lifetime prediction methods.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6E9F8" w:val="clear"/>
            <w:tcMar>
              <w:top w:type="dxa" w:w="120"/>
              <w:left w:type="dxa" w:w="200"/>
              <w:bottom w:type="dxa" w:w="120"/>
              <w:right w:type="dxa" w:w="200"/>
            </w:tcMar>
          </w:tcPr>
          <w:p>
            <w:pPr>
              <w:spacing w:after="80"/>
            </w:pPr>
            <w:r>
              <w:rPr>
                <w:b/>
                <w:bCs/>
                <w:sz w:val="22"/>
                <w:szCs w:val="22"/>
              </w:rPr>
              <w:t xml:space="preserve">On vendor coordination</w:t>
            </w:r>
          </w:p>
          <w:p>
            <w:pPr>
              <w:spacing w:after="60"/>
            </w:pPr>
            <w:r>
              <w:rPr>
                <w:sz w:val="20"/>
                <w:szCs w:val="20"/>
              </w:rPr>
              <w:t xml:space="preserve">For specific IGBT module part numbers, current spare availability, refurbishment options, and authoritative aging data for the INGETEAM INGECON SUN platform, contact Ingeteam Philippines directly. The information in this document is general industry guidance and should be supplemented with vendor-specific data for capital decisions.</w:t>
            </w:r>
          </w:p>
          <w:p>
            <w:pPr>
              <w:spacing w:after="60"/>
            </w:pPr>
            <w:r>
              <w:rPr>
                <w:sz w:val="20"/>
                <w:szCs w:val="20"/>
              </w:rPr>
              <w:t xml:space="preserve">Other inverter manufacturers offering modern grid-code-compliant utility-scale equipment in the Philippine market include SMA, Sungrow, Huawei, and TBEA. For full-replacement scenarios, multi-vendor RFQ is normal practice.</w:t>
            </w:r>
          </w:p>
        </w:tc>
      </w:tr>
    </w:tbl>
    <w:p>
      <w:pPr>
        <w:spacing w:after="80"/>
      </w:pPr>
      <w:r>
        <w:t xml:space="preserve"/>
      </w:r>
    </w:p>
    <w:p>
      <w:pPr>
        <w:spacing w:after="240" w:before="600"/>
        <w:jc w:val="center"/>
      </w:pPr>
      <w:r>
        <w:rPr>
          <w:b/>
          <w:bCs/>
          <w:color w:val="595959"/>
          <w:sz w:val="22"/>
          <w:szCs w:val="22"/>
        </w:rPr>
        <w:t xml:space="preserve">— END OF DOCUMENT —</w:t>
      </w:r>
    </w:p>
    <w:p>
      <w:pPr>
        <w:jc w:val="center"/>
      </w:pPr>
      <w:r>
        <w:rPr>
          <w:i/>
          <w:iCs/>
          <w:color w:val="595959"/>
          <w:sz w:val="18"/>
          <w:szCs w:val="18"/>
        </w:rPr>
        <w:t xml:space="preserve">Companion documents: Ingeteam Modbus-RTU Manual · Grid Compliance Testing Manual (PGC 2016)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6" w:space="4"/>
      </w:pBdr>
      <w:jc w:val="right"/>
    </w:pPr>
    <w:r>
      <w:rPr>
        <w:color w:val="595959"/>
        <w:sz w:val="16"/>
        <w:szCs w:val="16"/>
      </w:rPr>
      <w:t xml:space="preserve">IGBT End-of-Life &amp; Aging Management </w:t>
    </w:r>
    <w:r>
      <w:rPr>
        <w:color w:val="8B0000"/>
        <w:sz w:val="16"/>
        <w:szCs w:val="16"/>
      </w:rPr>
      <w:t xml:space="preserve">│ </w:t>
    </w:r>
    <w:r>
      <w:rPr>
        <w:i/>
        <w:iCs/>
        <w:color w:val="595959"/>
        <w:sz w:val="16"/>
        <w:szCs w:val="16"/>
      </w:rPr>
      <w:t xml:space="preserve">INGETEAM INGECON SUN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8B0000"/>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02060"/>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1F1F"/>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IGBT End-of-Life and Aging Management — INGETEAM INGECON SUN</dc:title>
  <dc:creator>IGBT Aging Documentation</dc:creator>
  <dc:description>Failure mechanisms, monitoring procedures, and capital planning framework</dc:description>
  <cp:lastModifiedBy>Un-named</cp:lastModifiedBy>
  <cp:revision>1</cp:revision>
  <dcterms:created xsi:type="dcterms:W3CDTF">2026-05-10T00:24:37.538Z</dcterms:created>
  <dcterms:modified xsi:type="dcterms:W3CDTF">2026-05-10T00:24:37.538Z</dcterms:modified>
</cp:coreProperties>
</file>

<file path=docProps/custom.xml><?xml version="1.0" encoding="utf-8"?>
<Properties xmlns="http://schemas.openxmlformats.org/officeDocument/2006/custom-properties" xmlns:vt="http://schemas.openxmlformats.org/officeDocument/2006/docPropsVTypes"/>
</file>