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35D0BA"/>
          <w:sz w:val="20"/>
        </w:rPr>
        <w:t>TENDER AI</w:t>
      </w:r>
    </w:p>
    <w:p>
      <w:pPr>
        <w:pStyle w:val="Title"/>
        <w:spacing w:after="120"/>
      </w:pPr>
      <w:r>
        <w:rPr>
          <w:rFonts w:ascii="Georgia" w:hAnsi="Georgia"/>
          <w:b/>
          <w:color w:val="081525"/>
          <w:sz w:val="58"/>
        </w:rPr>
        <w:t>Tender discovery to</w:t>
        <w:br/>
        <w:t>procurement intelligence</w:t>
      </w:r>
    </w:p>
    <w:p>
      <w:pPr>
        <w:spacing w:after="300"/>
      </w:pPr>
      <w:r>
        <w:rPr>
          <w:rFonts w:ascii="Arial" w:hAnsi="Arial"/>
          <w:b w:val="0"/>
          <w:color w:val="617086"/>
          <w:sz w:val="22"/>
        </w:rPr>
        <w:t>Product overview | August 2026</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fill="EFF5F8"/>
          </w:tcPr>
          <w:p>
            <w:pPr>
              <w:spacing w:after="40"/>
            </w:pPr>
            <w:r/>
            <w:r>
              <w:rPr>
                <w:rFonts w:ascii="Georgia" w:hAnsi="Georgia"/>
                <w:b/>
                <w:color w:val="35D0BA"/>
                <w:sz w:val="36"/>
              </w:rPr>
              <w:t>2</w:t>
            </w:r>
          </w:p>
          <w:p>
            <w:pPr>
              <w:spacing w:after="0"/>
            </w:pPr>
            <w:r>
              <w:rPr>
                <w:rFonts w:ascii="Arial" w:hAnsi="Arial"/>
                <w:b/>
                <w:color w:val="617086"/>
                <w:sz w:val="16"/>
              </w:rPr>
              <w:t>focused workspaces</w:t>
            </w:r>
          </w:p>
        </w:tc>
        <w:tc>
          <w:tcPr>
            <w:tcW w:type="dxa" w:w="2484"/>
            <w:shd w:fill="EFF5F8"/>
          </w:tcPr>
          <w:p>
            <w:pPr>
              <w:spacing w:after="40"/>
            </w:pPr>
            <w:r/>
            <w:r>
              <w:rPr>
                <w:rFonts w:ascii="Georgia" w:hAnsi="Georgia"/>
                <w:b/>
                <w:color w:val="35D0BA"/>
                <w:sz w:val="36"/>
              </w:rPr>
              <w:t>EMD</w:t>
            </w:r>
          </w:p>
          <w:p>
            <w:pPr>
              <w:spacing w:after="0"/>
            </w:pPr>
            <w:r>
              <w:rPr>
                <w:rFonts w:ascii="Arial" w:hAnsi="Arial"/>
                <w:b/>
                <w:color w:val="617086"/>
                <w:sz w:val="16"/>
              </w:rPr>
              <w:t>criteria-aware</w:t>
            </w:r>
          </w:p>
        </w:tc>
        <w:tc>
          <w:tcPr>
            <w:tcW w:type="dxa" w:w="2484"/>
            <w:shd w:fill="EFF5F8"/>
          </w:tcPr>
          <w:p>
            <w:pPr>
              <w:spacing w:after="40"/>
            </w:pPr>
            <w:r/>
            <w:r>
              <w:rPr>
                <w:rFonts w:ascii="Georgia" w:hAnsi="Georgia"/>
                <w:b/>
                <w:color w:val="35D0BA"/>
                <w:sz w:val="36"/>
              </w:rPr>
              <w:t>L1–L3</w:t>
            </w:r>
          </w:p>
          <w:p>
            <w:pPr>
              <w:spacing w:after="0"/>
            </w:pPr>
            <w:r>
              <w:rPr>
                <w:rFonts w:ascii="Arial" w:hAnsi="Arial"/>
                <w:b/>
                <w:color w:val="617086"/>
                <w:sz w:val="16"/>
              </w:rPr>
              <w:t>competition signals</w:t>
            </w:r>
          </w:p>
        </w:tc>
        <w:tc>
          <w:tcPr>
            <w:tcW w:type="dxa" w:w="2484"/>
            <w:shd w:fill="EFF5F8"/>
          </w:tcPr>
          <w:p>
            <w:pPr>
              <w:spacing w:after="40"/>
            </w:pPr>
            <w:r/>
            <w:r>
              <w:rPr>
                <w:rFonts w:ascii="Georgia" w:hAnsi="Georgia"/>
                <w:b/>
                <w:color w:val="35D0BA"/>
                <w:sz w:val="36"/>
              </w:rPr>
              <w:t>GeM</w:t>
            </w:r>
          </w:p>
          <w:p>
            <w:pPr>
              <w:spacing w:after="0"/>
            </w:pPr>
            <w:r>
              <w:rPr>
                <w:rFonts w:ascii="Arial" w:hAnsi="Arial"/>
                <w:b/>
                <w:color w:val="617086"/>
                <w:sz w:val="16"/>
              </w:rPr>
              <w:t>public data workflow</w:t>
            </w:r>
          </w:p>
        </w:tc>
      </w:tr>
    </w:tbl>
    <w:p>
      <w:pPr>
        <w:pStyle w:val="Heading1"/>
        <w:spacing w:before="280" w:after="140"/>
        <w:pBdr>
          <w:bottom w:val="single" w:sz="10" w:space="6" w:color="35D0BA"/>
        </w:pBdr>
      </w:pPr>
      <w:r>
        <w:rPr>
          <w:rFonts w:ascii="Arial" w:hAnsi="Arial"/>
          <w:b/>
          <w:color w:val="10233D"/>
          <w:sz w:val="32"/>
        </w:rPr>
        <w:t>Executive summary</w:t>
      </w:r>
    </w:p>
    <w:p>
      <w:pPr>
        <w:spacing w:after="160"/>
      </w:pPr>
      <w:r>
        <w:rPr>
          <w:rFonts w:ascii="Arial" w:hAnsi="Arial"/>
          <w:b w:val="0"/>
          <w:color w:val="10233D"/>
          <w:sz w:val="21"/>
        </w:rPr>
        <w:t>Tender AI is an AI-assisted operating system for teams working with India’s Government e-Marketplace (GeM). It brings tender discovery, eligibility scoring, EMD-aware criteria, Bid/RA execution, buyer portfolio research, and public-result intelligence into one focused platform.</w:t>
      </w:r>
    </w:p>
    <w:p>
      <w:pPr>
        <w:pStyle w:val="Heading1"/>
        <w:spacing w:before="280" w:after="140"/>
        <w:pBdr>
          <w:bottom w:val="single" w:sz="10" w:space="6" w:color="35D0BA"/>
        </w:pBdr>
      </w:pPr>
      <w:r>
        <w:rPr>
          <w:rFonts w:ascii="Arial" w:hAnsi="Arial"/>
          <w:b/>
          <w:color w:val="10233D"/>
          <w:sz w:val="32"/>
        </w:rPr>
        <w:t>The opportunity</w:t>
      </w:r>
    </w:p>
    <w:p>
      <w:pPr>
        <w:pStyle w:val="ListBullet"/>
        <w:spacing w:after="120"/>
      </w:pPr>
      <w:r>
        <w:rPr>
          <w:rFonts w:ascii="Arial" w:hAnsi="Arial"/>
          <w:color w:val="10233D"/>
          <w:sz w:val="21"/>
        </w:rPr>
        <w:t>Tender teams often move between public listings, spreadsheets, documents, and separate follow-up tools before making a bid decision.</w:t>
      </w:r>
    </w:p>
    <w:p>
      <w:pPr>
        <w:pStyle w:val="ListBullet"/>
        <w:spacing w:after="120"/>
      </w:pPr>
      <w:r>
        <w:rPr>
          <w:rFonts w:ascii="Arial" w:hAnsi="Arial"/>
          <w:color w:val="10233D"/>
          <w:sz w:val="21"/>
        </w:rPr>
        <w:t>The context created during discovery is frequently lost before bid preparation and result analysis.</w:t>
      </w:r>
    </w:p>
    <w:p>
      <w:pPr>
        <w:pStyle w:val="ListBullet"/>
        <w:spacing w:after="120"/>
      </w:pPr>
      <w:r>
        <w:rPr>
          <w:rFonts w:ascii="Arial" w:hAnsi="Arial"/>
          <w:color w:val="10233D"/>
          <w:sz w:val="21"/>
        </w:rPr>
        <w:t>Completed Bid/RA information can reveal competitors, winning patterns, and L1/L2/L3 signals—but only when public records are collected and structured responsibly.</w:t>
      </w:r>
    </w:p>
    <w:p>
      <w:pPr>
        <w:pStyle w:val="Heading1"/>
        <w:spacing w:before="280" w:after="140"/>
        <w:pBdr>
          <w:bottom w:val="single" w:sz="10" w:space="6" w:color="35D0BA"/>
        </w:pBdr>
      </w:pPr>
      <w:r>
        <w:rPr>
          <w:rFonts w:ascii="Arial" w:hAnsi="Arial"/>
          <w:b/>
          <w:color w:val="10233D"/>
          <w:sz w:val="32"/>
        </w:rPr>
        <w:t>How Tender AI works</w:t>
      </w:r>
    </w:p>
    <w:tbl>
      <w:tblPr>
        <w:tblStyle w:val="TableGrid"/>
        <w:tblW w:type="auto" w:w="0"/>
        <w:jc w:val="left"/>
        <w:tblLook w:firstColumn="1" w:firstRow="1" w:lastColumn="0" w:lastRow="0" w:noHBand="0" w:noVBand="1" w:val="04A0"/>
      </w:tblPr>
      <w:tblGrid>
        <w:gridCol w:w="3312"/>
        <w:gridCol w:w="3312"/>
        <w:gridCol w:w="3312"/>
      </w:tblGrid>
      <w:tr>
        <w:tc>
          <w:tcPr>
            <w:tcW w:type="dxa" w:w="3312"/>
            <w:shd w:fill="081525"/>
            <w:vAlign w:val="center"/>
          </w:tcPr>
          <w:p>
            <w:pPr>
              <w:spacing w:after="40"/>
            </w:pPr>
            <w:r/>
            <w:r>
              <w:rPr>
                <w:rFonts w:ascii="Arial" w:hAnsi="Arial"/>
                <w:b/>
                <w:color w:val="FFFFFF"/>
                <w:sz w:val="20"/>
              </w:rPr>
              <w:t>Stage</w:t>
            </w:r>
          </w:p>
        </w:tc>
        <w:tc>
          <w:tcPr>
            <w:tcW w:type="dxa" w:w="3312"/>
            <w:shd w:fill="081525"/>
            <w:vAlign w:val="center"/>
          </w:tcPr>
          <w:p>
            <w:pPr>
              <w:spacing w:after="40"/>
            </w:pPr>
            <w:r/>
            <w:r>
              <w:rPr>
                <w:rFonts w:ascii="Arial" w:hAnsi="Arial"/>
                <w:b/>
                <w:color w:val="FFFFFF"/>
                <w:sz w:val="20"/>
              </w:rPr>
              <w:t>What happens</w:t>
            </w:r>
          </w:p>
        </w:tc>
        <w:tc>
          <w:tcPr>
            <w:tcW w:type="dxa" w:w="3312"/>
            <w:shd w:fill="081525"/>
            <w:vAlign w:val="center"/>
          </w:tcPr>
          <w:p>
            <w:pPr>
              <w:spacing w:after="40"/>
            </w:pPr>
            <w:r/>
            <w:r>
              <w:rPr>
                <w:rFonts w:ascii="Arial" w:hAnsi="Arial"/>
                <w:b/>
                <w:color w:val="FFFFFF"/>
                <w:sz w:val="20"/>
              </w:rPr>
              <w:t>Value created</w:t>
            </w:r>
          </w:p>
        </w:tc>
      </w:tr>
      <w:tr>
        <w:tc>
          <w:tcPr>
            <w:tcW w:type="dxa" w:w="3312"/>
            <w:vAlign w:val="center"/>
          </w:tcPr>
          <w:p>
            <w:pPr>
              <w:spacing w:after="40"/>
            </w:pPr>
            <w:r/>
            <w:r>
              <w:rPr>
                <w:rFonts w:ascii="Arial" w:hAnsi="Arial"/>
                <w:b/>
                <w:color w:val="10233D"/>
                <w:sz w:val="19"/>
              </w:rPr>
              <w:t>Discover</w:t>
            </w:r>
          </w:p>
        </w:tc>
        <w:tc>
          <w:tcPr>
            <w:tcW w:type="dxa" w:w="3312"/>
            <w:vAlign w:val="center"/>
          </w:tcPr>
          <w:p>
            <w:pPr>
              <w:spacing w:after="40"/>
            </w:pPr>
            <w:r/>
            <w:r>
              <w:rPr>
                <w:rFonts w:ascii="Arial" w:hAnsi="Arial"/>
                <w:b w:val="0"/>
                <w:color w:val="10233D"/>
                <w:sz w:val="19"/>
              </w:rPr>
              <w:t>Search public GeM tenders and apply focused filters.</w:t>
            </w:r>
          </w:p>
        </w:tc>
        <w:tc>
          <w:tcPr>
            <w:tcW w:type="dxa" w:w="3312"/>
            <w:vAlign w:val="center"/>
          </w:tcPr>
          <w:p>
            <w:pPr>
              <w:spacing w:after="40"/>
            </w:pPr>
            <w:r/>
            <w:r>
              <w:rPr>
                <w:rFonts w:ascii="Arial" w:hAnsi="Arial"/>
                <w:b w:val="0"/>
                <w:color w:val="10233D"/>
                <w:sz w:val="19"/>
              </w:rPr>
              <w:t>A relevant, searchable tender corpus.</w:t>
            </w:r>
          </w:p>
        </w:tc>
      </w:tr>
      <w:tr>
        <w:tc>
          <w:tcPr>
            <w:tcW w:type="dxa" w:w="3312"/>
            <w:vAlign w:val="center"/>
          </w:tcPr>
          <w:p>
            <w:pPr>
              <w:spacing w:after="40"/>
            </w:pPr>
            <w:r/>
            <w:r>
              <w:rPr>
                <w:rFonts w:ascii="Arial" w:hAnsi="Arial"/>
                <w:b/>
                <w:color w:val="10233D"/>
                <w:sz w:val="19"/>
              </w:rPr>
              <w:t>Qualify</w:t>
            </w:r>
          </w:p>
        </w:tc>
        <w:tc>
          <w:tcPr>
            <w:tcW w:type="dxa" w:w="3312"/>
            <w:vAlign w:val="center"/>
          </w:tcPr>
          <w:p>
            <w:pPr>
              <w:spacing w:after="40"/>
            </w:pPr>
            <w:r/>
            <w:r>
              <w:rPr>
                <w:rFonts w:ascii="Arial" w:hAnsi="Arial"/>
                <w:b w:val="0"/>
                <w:color w:val="10233D"/>
                <w:sz w:val="19"/>
              </w:rPr>
              <w:t>Apply multi-criteria rules, relevance checks, and EMD context.</w:t>
            </w:r>
          </w:p>
        </w:tc>
        <w:tc>
          <w:tcPr>
            <w:tcW w:type="dxa" w:w="3312"/>
            <w:vAlign w:val="center"/>
          </w:tcPr>
          <w:p>
            <w:pPr>
              <w:spacing w:after="40"/>
            </w:pPr>
            <w:r/>
            <w:r>
              <w:rPr>
                <w:rFonts w:ascii="Arial" w:hAnsi="Arial"/>
                <w:b w:val="0"/>
                <w:color w:val="10233D"/>
                <w:sz w:val="19"/>
              </w:rPr>
              <w:t>Explainable shortlist and bid/no-bid inputs.</w:t>
            </w:r>
          </w:p>
        </w:tc>
      </w:tr>
      <w:tr>
        <w:tc>
          <w:tcPr>
            <w:tcW w:type="dxa" w:w="3312"/>
            <w:vAlign w:val="center"/>
          </w:tcPr>
          <w:p>
            <w:pPr>
              <w:spacing w:after="40"/>
            </w:pPr>
            <w:r/>
            <w:r>
              <w:rPr>
                <w:rFonts w:ascii="Arial" w:hAnsi="Arial"/>
                <w:b/>
                <w:color w:val="10233D"/>
                <w:sz w:val="19"/>
              </w:rPr>
              <w:t>Execute</w:t>
            </w:r>
          </w:p>
        </w:tc>
        <w:tc>
          <w:tcPr>
            <w:tcW w:type="dxa" w:w="3312"/>
            <w:vAlign w:val="center"/>
          </w:tcPr>
          <w:p>
            <w:pPr>
              <w:spacing w:after="40"/>
            </w:pPr>
            <w:r/>
            <w:r>
              <w:rPr>
                <w:rFonts w:ascii="Arial" w:hAnsi="Arial"/>
                <w:b w:val="0"/>
                <w:color w:val="10233D"/>
                <w:sz w:val="19"/>
              </w:rPr>
              <w:t>Track seller readiness, catalogue, Bid/RA workflow, and fulfilment.</w:t>
            </w:r>
          </w:p>
        </w:tc>
        <w:tc>
          <w:tcPr>
            <w:tcW w:type="dxa" w:w="3312"/>
            <w:vAlign w:val="center"/>
          </w:tcPr>
          <w:p>
            <w:pPr>
              <w:spacing w:after="40"/>
            </w:pPr>
            <w:r/>
            <w:r>
              <w:rPr>
                <w:rFonts w:ascii="Arial" w:hAnsi="Arial"/>
                <w:b w:val="0"/>
                <w:color w:val="10233D"/>
                <w:sz w:val="19"/>
              </w:rPr>
              <w:t>Operational accountability from tender to order.</w:t>
            </w:r>
          </w:p>
        </w:tc>
      </w:tr>
      <w:tr>
        <w:tc>
          <w:tcPr>
            <w:tcW w:type="dxa" w:w="3312"/>
            <w:vAlign w:val="center"/>
          </w:tcPr>
          <w:p>
            <w:pPr>
              <w:spacing w:after="40"/>
            </w:pPr>
            <w:r/>
            <w:r>
              <w:rPr>
                <w:rFonts w:ascii="Arial" w:hAnsi="Arial"/>
                <w:b/>
                <w:color w:val="10233D"/>
                <w:sz w:val="19"/>
              </w:rPr>
              <w:t>Analyze</w:t>
            </w:r>
          </w:p>
        </w:tc>
        <w:tc>
          <w:tcPr>
            <w:tcW w:type="dxa" w:w="3312"/>
            <w:vAlign w:val="center"/>
          </w:tcPr>
          <w:p>
            <w:pPr>
              <w:spacing w:after="40"/>
            </w:pPr>
            <w:r/>
            <w:r>
              <w:rPr>
                <w:rFonts w:ascii="Arial" w:hAnsi="Arial"/>
                <w:b w:val="0"/>
                <w:color w:val="10233D"/>
                <w:sz w:val="19"/>
              </w:rPr>
              <w:t>Import buyer portfolios and public completed results.</w:t>
            </w:r>
          </w:p>
        </w:tc>
        <w:tc>
          <w:tcPr>
            <w:tcW w:type="dxa" w:w="3312"/>
            <w:vAlign w:val="center"/>
          </w:tcPr>
          <w:p>
            <w:pPr>
              <w:spacing w:after="40"/>
            </w:pPr>
            <w:r/>
            <w:r>
              <w:rPr>
                <w:rFonts w:ascii="Arial" w:hAnsi="Arial"/>
                <w:b w:val="0"/>
                <w:color w:val="10233D"/>
                <w:sz w:val="19"/>
              </w:rPr>
              <w:t>Reusable competition and market intelligence.</w:t>
            </w:r>
          </w:p>
        </w:tc>
      </w:tr>
    </w:tbl>
    <w:p>
      <w:pPr>
        <w:pStyle w:val="Heading1"/>
        <w:spacing w:before="280" w:after="140"/>
        <w:pBdr>
          <w:bottom w:val="single" w:sz="10" w:space="6" w:color="35D0BA"/>
        </w:pBdr>
      </w:pPr>
      <w:r>
        <w:rPr>
          <w:rFonts w:ascii="Arial" w:hAnsi="Arial"/>
          <w:b/>
          <w:color w:val="10233D"/>
          <w:sz w:val="32"/>
        </w:rPr>
        <w:t>Seller workspace</w:t>
      </w:r>
    </w:p>
    <w:p>
      <w:pPr>
        <w:pStyle w:val="ListBullet"/>
        <w:spacing w:after="120"/>
      </w:pPr>
      <w:r>
        <w:rPr>
          <w:rFonts w:ascii="Arial" w:hAnsi="Arial"/>
          <w:color w:val="10233D"/>
          <w:sz w:val="21"/>
        </w:rPr>
        <w:t>Tender discovery and relevance scoring using configurable positive and exclusion criteria.</w:t>
      </w:r>
    </w:p>
    <w:p>
      <w:pPr>
        <w:pStyle w:val="ListBullet"/>
        <w:spacing w:after="120"/>
      </w:pPr>
      <w:r>
        <w:rPr>
          <w:rFonts w:ascii="Arial" w:hAnsi="Arial"/>
          <w:color w:val="10233D"/>
          <w:sz w:val="21"/>
        </w:rPr>
        <w:t>EMD capture and evaluation alongside category, deadline, and eligibility information.</w:t>
      </w:r>
    </w:p>
    <w:p>
      <w:pPr>
        <w:pStyle w:val="ListBullet"/>
        <w:spacing w:after="120"/>
      </w:pPr>
      <w:r>
        <w:rPr>
          <w:rFonts w:ascii="Arial" w:hAnsi="Arial"/>
          <w:color w:val="10233D"/>
          <w:sz w:val="21"/>
        </w:rPr>
        <w:t>Seller profile, document readiness, catalogue tracking, Bid/RA participation workflow, and order fulfilment tracking.</w:t>
      </w:r>
    </w:p>
    <w:p>
      <w:pPr>
        <w:pStyle w:val="Heading1"/>
        <w:spacing w:before="280" w:after="140"/>
        <w:pBdr>
          <w:bottom w:val="single" w:sz="10" w:space="6" w:color="35D0BA"/>
        </w:pBdr>
      </w:pPr>
      <w:r>
        <w:rPr>
          <w:rFonts w:ascii="Arial" w:hAnsi="Arial"/>
          <w:b/>
          <w:color w:val="10233D"/>
          <w:sz w:val="32"/>
        </w:rPr>
        <w:t>Buyer intelligence workspace</w:t>
      </w:r>
    </w:p>
    <w:p>
      <w:pPr>
        <w:pStyle w:val="ListBullet"/>
        <w:spacing w:after="120"/>
      </w:pPr>
      <w:r>
        <w:rPr>
          <w:rFonts w:ascii="Arial" w:hAnsi="Arial"/>
          <w:color w:val="10233D"/>
          <w:sz w:val="21"/>
        </w:rPr>
        <w:t>Buyer Directory: select a ministry, organization, and department to establish a buyer research scope.</w:t>
      </w:r>
    </w:p>
    <w:p>
      <w:pPr>
        <w:pStyle w:val="ListBullet"/>
        <w:spacing w:after="120"/>
      </w:pPr>
      <w:r>
        <w:rPr>
          <w:rFonts w:ascii="Arial" w:hAnsi="Arial"/>
          <w:color w:val="10233D"/>
          <w:sz w:val="21"/>
        </w:rPr>
        <w:t>Published Tenders: distinguish open and completed records using exact GeM end-date/time information.</w:t>
      </w:r>
    </w:p>
    <w:p>
      <w:pPr>
        <w:pStyle w:val="ListBullet"/>
        <w:spacing w:after="120"/>
      </w:pPr>
      <w:r>
        <w:rPr>
          <w:rFonts w:ascii="Arial" w:hAnsi="Arial"/>
          <w:color w:val="10233D"/>
          <w:sz w:val="21"/>
        </w:rPr>
        <w:t>Completed Results: synchronize public Bid/RA result pages and retain source links, award status, exposed sellers, ranks, and result availability.</w:t>
      </w:r>
    </w:p>
    <w:p>
      <w:pPr>
        <w:pStyle w:val="ListBullet"/>
        <w:spacing w:after="120"/>
      </w:pPr>
      <w:r>
        <w:rPr>
          <w:rFonts w:ascii="Arial" w:hAnsi="Arial"/>
          <w:color w:val="10233D"/>
          <w:sz w:val="21"/>
        </w:rPr>
        <w:t>Analysis and Reports: identify repeat bidders, L1/L2/L3 signals, winners, concentration, and research priorities.</w:t>
      </w:r>
    </w:p>
    <w:p>
      <w:pPr>
        <w:pStyle w:val="Heading1"/>
        <w:spacing w:before="280" w:after="140"/>
        <w:pBdr>
          <w:bottom w:val="single" w:sz="10" w:space="6" w:color="35D0BA"/>
        </w:pBdr>
      </w:pPr>
      <w:r>
        <w:rPr>
          <w:rFonts w:ascii="Arial" w:hAnsi="Arial"/>
          <w:b/>
          <w:color w:val="10233D"/>
          <w:sz w:val="32"/>
        </w:rPr>
        <w:t>Evidence and data boundaries</w:t>
      </w:r>
    </w:p>
    <w:p>
      <w:r>
        <w:rPr>
          <w:rFonts w:ascii="Arial" w:hAnsi="Arial"/>
          <w:b w:val="0"/>
          <w:color w:val="10233D"/>
          <w:sz w:val="21"/>
        </w:rPr>
        <w:t>Tender AI is designed to make evidence quality visible. Public result links and source metadata remain attached to intelligence records. When GeM masks seller information, leaves evaluation pending, or does not expose a result, the platform labels that limitation rather than inferring unsupported facts.</w:t>
      </w:r>
    </w:p>
    <w:p>
      <w:pPr>
        <w:pStyle w:val="Heading1"/>
        <w:spacing w:before="280" w:after="140"/>
        <w:pBdr>
          <w:bottom w:val="single" w:sz="10" w:space="6" w:color="35D0BA"/>
        </w:pBdr>
      </w:pPr>
      <w:r>
        <w:rPr>
          <w:rFonts w:ascii="Arial" w:hAnsi="Arial"/>
          <w:b/>
          <w:color w:val="10233D"/>
          <w:sz w:val="32"/>
        </w:rPr>
        <w:t>Recommended rollout</w:t>
      </w:r>
    </w:p>
    <w:tbl>
      <w:tblPr>
        <w:tblStyle w:val="TableGrid"/>
        <w:tblW w:type="auto" w:w="0"/>
        <w:jc w:val="left"/>
        <w:tblLook w:firstColumn="1" w:firstRow="1" w:lastColumn="0" w:lastRow="0" w:noHBand="0" w:noVBand="1" w:val="04A0"/>
      </w:tblPr>
      <w:tblGrid>
        <w:gridCol w:w="3312"/>
        <w:gridCol w:w="3312"/>
        <w:gridCol w:w="3312"/>
      </w:tblGrid>
      <w:tr>
        <w:tc>
          <w:tcPr>
            <w:tcW w:type="dxa" w:w="3312"/>
            <w:shd w:fill="081525"/>
            <w:vAlign w:val="center"/>
          </w:tcPr>
          <w:p>
            <w:pPr>
              <w:spacing w:after="40"/>
            </w:pPr>
            <w:r/>
            <w:r>
              <w:rPr>
                <w:rFonts w:ascii="Arial" w:hAnsi="Arial"/>
                <w:b/>
                <w:color w:val="FFFFFF"/>
                <w:sz w:val="20"/>
              </w:rPr>
              <w:t>Phase</w:t>
            </w:r>
          </w:p>
        </w:tc>
        <w:tc>
          <w:tcPr>
            <w:tcW w:type="dxa" w:w="3312"/>
            <w:shd w:fill="081525"/>
            <w:vAlign w:val="center"/>
          </w:tcPr>
          <w:p>
            <w:pPr>
              <w:spacing w:after="40"/>
            </w:pPr>
            <w:r/>
            <w:r>
              <w:rPr>
                <w:rFonts w:ascii="Arial" w:hAnsi="Arial"/>
                <w:b/>
                <w:color w:val="FFFFFF"/>
                <w:sz w:val="20"/>
              </w:rPr>
              <w:t>Focus</w:t>
            </w:r>
          </w:p>
        </w:tc>
        <w:tc>
          <w:tcPr>
            <w:tcW w:type="dxa" w:w="3312"/>
            <w:shd w:fill="081525"/>
            <w:vAlign w:val="center"/>
          </w:tcPr>
          <w:p>
            <w:pPr>
              <w:spacing w:after="40"/>
            </w:pPr>
            <w:r/>
            <w:r>
              <w:rPr>
                <w:rFonts w:ascii="Arial" w:hAnsi="Arial"/>
                <w:b/>
                <w:color w:val="FFFFFF"/>
                <w:sz w:val="20"/>
              </w:rPr>
              <w:t>Outcome</w:t>
            </w:r>
          </w:p>
        </w:tc>
      </w:tr>
      <w:tr>
        <w:tc>
          <w:tcPr>
            <w:tcW w:type="dxa" w:w="3312"/>
            <w:vAlign w:val="center"/>
          </w:tcPr>
          <w:p>
            <w:pPr>
              <w:spacing w:after="40"/>
            </w:pPr>
            <w:r/>
            <w:r>
              <w:rPr>
                <w:rFonts w:ascii="Arial" w:hAnsi="Arial"/>
                <w:b w:val="0"/>
                <w:color w:val="10233D"/>
                <w:sz w:val="19"/>
              </w:rPr>
              <w:t>1. Configure</w:t>
            </w:r>
          </w:p>
        </w:tc>
        <w:tc>
          <w:tcPr>
            <w:tcW w:type="dxa" w:w="3312"/>
            <w:vAlign w:val="center"/>
          </w:tcPr>
          <w:p>
            <w:pPr>
              <w:spacing w:after="40"/>
            </w:pPr>
            <w:r/>
            <w:r>
              <w:rPr>
                <w:rFonts w:ascii="Arial" w:hAnsi="Arial"/>
                <w:b w:val="0"/>
                <w:color w:val="10233D"/>
                <w:sz w:val="19"/>
              </w:rPr>
              <w:t>Company profile, criteria, EMD logic, alerts</w:t>
            </w:r>
          </w:p>
        </w:tc>
        <w:tc>
          <w:tcPr>
            <w:tcW w:type="dxa" w:w="3312"/>
            <w:vAlign w:val="center"/>
          </w:tcPr>
          <w:p>
            <w:pPr>
              <w:spacing w:after="40"/>
            </w:pPr>
            <w:r/>
            <w:r>
              <w:rPr>
                <w:rFonts w:ascii="Arial" w:hAnsi="Arial"/>
                <w:b w:val="0"/>
                <w:color w:val="10233D"/>
                <w:sz w:val="19"/>
              </w:rPr>
              <w:t>A repeatable operating baseline.</w:t>
            </w:r>
          </w:p>
        </w:tc>
      </w:tr>
      <w:tr>
        <w:tc>
          <w:tcPr>
            <w:tcW w:type="dxa" w:w="3312"/>
            <w:vAlign w:val="center"/>
          </w:tcPr>
          <w:p>
            <w:pPr>
              <w:spacing w:after="40"/>
            </w:pPr>
            <w:r/>
            <w:r>
              <w:rPr>
                <w:rFonts w:ascii="Arial" w:hAnsi="Arial"/>
                <w:b w:val="0"/>
                <w:color w:val="10233D"/>
                <w:sz w:val="19"/>
              </w:rPr>
              <w:t>2. Connect</w:t>
            </w:r>
          </w:p>
        </w:tc>
        <w:tc>
          <w:tcPr>
            <w:tcW w:type="dxa" w:w="3312"/>
            <w:vAlign w:val="center"/>
          </w:tcPr>
          <w:p>
            <w:pPr>
              <w:spacing w:after="40"/>
            </w:pPr>
            <w:r/>
            <w:r>
              <w:rPr>
                <w:rFonts w:ascii="Arial" w:hAnsi="Arial"/>
                <w:b w:val="0"/>
                <w:color w:val="10233D"/>
                <w:sz w:val="19"/>
              </w:rPr>
              <w:t>GeM discovery and an initial buyer/tender corpus</w:t>
            </w:r>
          </w:p>
        </w:tc>
        <w:tc>
          <w:tcPr>
            <w:tcW w:type="dxa" w:w="3312"/>
            <w:vAlign w:val="center"/>
          </w:tcPr>
          <w:p>
            <w:pPr>
              <w:spacing w:after="40"/>
            </w:pPr>
            <w:r/>
            <w:r>
              <w:rPr>
                <w:rFonts w:ascii="Arial" w:hAnsi="Arial"/>
                <w:b w:val="0"/>
                <w:color w:val="10233D"/>
                <w:sz w:val="19"/>
              </w:rPr>
              <w:t>Visible tender flow and market scope.</w:t>
            </w:r>
          </w:p>
        </w:tc>
      </w:tr>
      <w:tr>
        <w:tc>
          <w:tcPr>
            <w:tcW w:type="dxa" w:w="3312"/>
            <w:vAlign w:val="center"/>
          </w:tcPr>
          <w:p>
            <w:pPr>
              <w:spacing w:after="40"/>
            </w:pPr>
            <w:r/>
            <w:r>
              <w:rPr>
                <w:rFonts w:ascii="Arial" w:hAnsi="Arial"/>
                <w:b w:val="0"/>
                <w:color w:val="10233D"/>
                <w:sz w:val="19"/>
              </w:rPr>
              <w:t>3. Operate</w:t>
            </w:r>
          </w:p>
        </w:tc>
        <w:tc>
          <w:tcPr>
            <w:tcW w:type="dxa" w:w="3312"/>
            <w:vAlign w:val="center"/>
          </w:tcPr>
          <w:p>
            <w:pPr>
              <w:spacing w:after="40"/>
            </w:pPr>
            <w:r/>
            <w:r>
              <w:rPr>
                <w:rFonts w:ascii="Arial" w:hAnsi="Arial"/>
                <w:b w:val="0"/>
                <w:color w:val="10233D"/>
                <w:sz w:val="19"/>
              </w:rPr>
              <w:t>Shortlisting, readiness, Bid/RA workflow, result sync</w:t>
            </w:r>
          </w:p>
        </w:tc>
        <w:tc>
          <w:tcPr>
            <w:tcW w:type="dxa" w:w="3312"/>
            <w:vAlign w:val="center"/>
          </w:tcPr>
          <w:p>
            <w:pPr>
              <w:spacing w:after="40"/>
            </w:pPr>
            <w:r/>
            <w:r>
              <w:rPr>
                <w:rFonts w:ascii="Arial" w:hAnsi="Arial"/>
                <w:b w:val="0"/>
                <w:color w:val="10233D"/>
                <w:sz w:val="19"/>
              </w:rPr>
              <w:t>Structured activity with retained evidence.</w:t>
            </w:r>
          </w:p>
        </w:tc>
      </w:tr>
      <w:tr>
        <w:tc>
          <w:tcPr>
            <w:tcW w:type="dxa" w:w="3312"/>
            <w:vAlign w:val="center"/>
          </w:tcPr>
          <w:p>
            <w:pPr>
              <w:spacing w:after="40"/>
            </w:pPr>
            <w:r/>
            <w:r>
              <w:rPr>
                <w:rFonts w:ascii="Arial" w:hAnsi="Arial"/>
                <w:b w:val="0"/>
                <w:color w:val="10233D"/>
                <w:sz w:val="19"/>
              </w:rPr>
              <w:t>4. Learn</w:t>
            </w:r>
          </w:p>
        </w:tc>
        <w:tc>
          <w:tcPr>
            <w:tcW w:type="dxa" w:w="3312"/>
            <w:vAlign w:val="center"/>
          </w:tcPr>
          <w:p>
            <w:pPr>
              <w:spacing w:after="40"/>
            </w:pPr>
            <w:r/>
            <w:r>
              <w:rPr>
                <w:rFonts w:ascii="Arial" w:hAnsi="Arial"/>
                <w:b w:val="0"/>
                <w:color w:val="10233D"/>
                <w:sz w:val="19"/>
              </w:rPr>
              <w:t>Competition, award, and concentration reports</w:t>
            </w:r>
          </w:p>
        </w:tc>
        <w:tc>
          <w:tcPr>
            <w:tcW w:type="dxa" w:w="3312"/>
            <w:vAlign w:val="center"/>
          </w:tcPr>
          <w:p>
            <w:pPr>
              <w:spacing w:after="40"/>
            </w:pPr>
            <w:r/>
            <w:r>
              <w:rPr>
                <w:rFonts w:ascii="Arial" w:hAnsi="Arial"/>
                <w:b w:val="0"/>
                <w:color w:val="10233D"/>
                <w:sz w:val="19"/>
              </w:rPr>
              <w:t>Better next-bid and market-research decisions.</w:t>
            </w:r>
          </w:p>
        </w:tc>
      </w:tr>
    </w:tbl>
    <w:p>
      <w:pPr>
        <w:pStyle w:val="Heading1"/>
        <w:spacing w:before="280" w:after="140"/>
        <w:pBdr>
          <w:bottom w:val="single" w:sz="10" w:space="6" w:color="35D0BA"/>
        </w:pBdr>
      </w:pPr>
      <w:r>
        <w:rPr>
          <w:rFonts w:ascii="Arial" w:hAnsi="Arial"/>
          <w:b/>
          <w:color w:val="10233D"/>
          <w:sz w:val="32"/>
        </w:rPr>
        <w:t>Conclusion</w:t>
      </w:r>
    </w:p>
    <w:p>
      <w:r>
        <w:rPr>
          <w:rFonts w:ascii="Georgia" w:hAnsi="Georgia"/>
          <w:b/>
          <w:color w:val="081525"/>
          <w:sz w:val="24"/>
        </w:rPr>
        <w:t>Tender AI helps teams move from fragmented tender activity to a consistent intelligence loop: discover, qualify, execute, analyze, and improve.</w:t>
      </w:r>
    </w:p>
    <w:sectPr w:rsidR="00FC693F" w:rsidRPr="0006063C" w:rsidSect="00034616">
      <w:headerReference w:type="default" r:id="rId9"/>
      <w:footerReference w:type="default" r:id="rId10"/>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color w:val="617086"/>
        <w:sz w:val="16"/>
      </w:rPr>
      <w:t>Tender AI  |  GeM tender intelligence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0" w:space="6" w:color="35D0BA"/>
      </w:pBdr>
    </w:pPr>
    <w:r>
      <w:rPr>
        <w:rFonts w:ascii="Arial" w:hAnsi="Arial"/>
        <w:b/>
        <w:color w:val="617086"/>
        <w:sz w:val="16"/>
      </w:rPr>
      <w:t>TENDER AI  /  PRODUCT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08152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