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616161"/>
          <w:sz w:val="37"/>
          <w:szCs w:val="37"/>
          <w:highlight w:val="white"/>
        </w:rPr>
      </w:pPr>
      <w:r w:rsidDel="00000000" w:rsidR="00000000" w:rsidRPr="00000000">
        <w:rPr>
          <w:color w:val="616161"/>
          <w:sz w:val="37"/>
          <w:szCs w:val="37"/>
          <w:highlight w:val="white"/>
          <w:rtl w:val="0"/>
        </w:rPr>
        <w:t xml:space="preserve">Uses Cases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616161"/>
          <w:sz w:val="37"/>
          <w:szCs w:val="37"/>
          <w:highlight w:val="white"/>
        </w:rPr>
      </w:pPr>
      <w:r w:rsidDel="00000000" w:rsidR="00000000" w:rsidRPr="00000000">
        <w:rPr>
          <w:color w:val="616161"/>
          <w:sz w:val="37"/>
          <w:szCs w:val="37"/>
          <w:highlight w:val="white"/>
          <w:rtl w:val="0"/>
        </w:rPr>
        <w:t xml:space="preserve">CTI website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Matthew Clark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Use Case 1 – User browses the website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16161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Description – user accesses and checkouts the website. They may put doing it out of curiosity, or because they are researching local irrigation companies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16161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Actors – Any given web user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16161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Organizational Benefits – Provides advertisement by spreading awareness of the company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16161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Freq of Use – Difficult to say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16161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Triggers – entering the domain name in a web browser or by clicking the domain URL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16161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Preconditions – None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16161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Postconditions – None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16161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Main Course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16161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Exceptions – None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Use Case 2 – User schedules appointment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16161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Description – user schedules appointment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.      Actors – Any given user wishing to be a potential customer of CTI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16161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Organizational Benefits – Saves the organization time and has the potential to bring in additional   customers (for the organization) they may have otherwise not bothered to stay on hold to schedule an appointment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16161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Freq of Use – Difficult to say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16161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Triggers – Clicking an onscreen button labeled as “schedule appointment”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16161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    Preconditions - The user would have had access the “appointments” page in the 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16161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Postconditions – The selected time slot information will be sent over to the scheduler platform used by the organization. Additionally, the organization will receive a notification via email that appointment has been made with the specified time and user contact information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16161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Main Course - User will be directed to another page, prompting the user to select the type of appointment and displaying open time slots. After selecting a timeslot, the user will be required to leave a name, address, phone number and email. The user will then have to hit “submit”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16161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Exceptions – None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color w:val="61616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380" w:before="380" w:lineRule="auto"/>
        <w:ind w:left="0" w:right="2020" w:firstLine="0"/>
        <w:rPr>
          <w:color w:val="61616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