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McLear</w:t>
      </w:r>
    </w:p>
    <w:p>
      <w:pPr>
        <w:pStyle w:val="Heading1"/>
      </w:pPr>
      <w:bookmarkStart w:id="21" w:name="final-exam-review"/>
      <w:bookmarkEnd w:id="21"/>
      <w:r>
        <w:t xml:space="preserve">Final Exam Review</w:t>
      </w:r>
    </w:p>
    <w:p>
      <w:pPr>
        <w:pStyle w:val="Heading2"/>
      </w:pPr>
      <w:bookmarkStart w:id="22" w:name="format-of-exam"/>
      <w:bookmarkEnd w:id="22"/>
      <w:r>
        <w:t xml:space="preserve">Format of Exam</w:t>
      </w:r>
    </w:p>
    <w:p>
      <w:pPr>
        <w:pStyle w:val="Compact"/>
        <w:numPr>
          <w:numId w:val="1001"/>
          <w:ilvl w:val="0"/>
        </w:numPr>
      </w:pPr>
      <w:r>
        <w:t xml:space="preserve">Argument identification (20 pts)</w:t>
      </w:r>
    </w:p>
    <w:p>
      <w:pPr>
        <w:pStyle w:val="Compact"/>
        <w:numPr>
          <w:numId w:val="1001"/>
          <w:ilvl w:val="0"/>
        </w:numPr>
      </w:pPr>
      <w:r>
        <w:t xml:space="preserve">Definitions (20 pts)</w:t>
      </w:r>
    </w:p>
    <w:p>
      <w:pPr>
        <w:pStyle w:val="Compact"/>
        <w:numPr>
          <w:numId w:val="1001"/>
          <w:ilvl w:val="0"/>
        </w:numPr>
      </w:pPr>
      <w:r>
        <w:t xml:space="preserve">Multiple choice (30 pts)</w:t>
      </w:r>
    </w:p>
    <w:p>
      <w:pPr>
        <w:pStyle w:val="Compact"/>
        <w:numPr>
          <w:numId w:val="1001"/>
          <w:ilvl w:val="0"/>
        </w:numPr>
      </w:pPr>
      <w:r>
        <w:t xml:space="preserve">Short answer/essay (30 pts)</w:t>
      </w:r>
    </w:p>
    <w:p>
      <w:pPr>
        <w:pStyle w:val="Heading2"/>
      </w:pPr>
      <w:bookmarkStart w:id="23" w:name="general-concepts"/>
      <w:bookmarkEnd w:id="23"/>
      <w:r>
        <w:t xml:space="preserve">General Concepts</w:t>
      </w:r>
    </w:p>
    <w:p>
      <w:pPr>
        <w:pStyle w:val="Compact"/>
        <w:numPr>
          <w:numId w:val="1002"/>
          <w:ilvl w:val="0"/>
        </w:numPr>
      </w:pPr>
      <w:r>
        <w:t xml:space="preserve">Logical concepts (e.g. necessary/sufficient condition)</w:t>
      </w:r>
    </w:p>
    <w:p>
      <w:pPr>
        <w:pStyle w:val="Compact"/>
        <w:numPr>
          <w:numId w:val="1002"/>
          <w:ilvl w:val="0"/>
        </w:numPr>
      </w:pPr>
      <w:r>
        <w:t xml:space="preserve">Moral concepts (utilitarianism vs deontology)</w:t>
      </w:r>
    </w:p>
    <w:p>
      <w:pPr>
        <w:pStyle w:val="Heading2"/>
      </w:pPr>
      <w:bookmarkStart w:id="24" w:name="ethical-omnivorism"/>
      <w:bookmarkEnd w:id="24"/>
      <w:r>
        <w:t xml:space="preserve">Ethical Omnivorism</w:t>
      </w:r>
    </w:p>
    <w:p>
      <w:pPr>
        <w:pStyle w:val="Compact"/>
        <w:numPr>
          <w:numId w:val="1003"/>
          <w:ilvl w:val="0"/>
        </w:numPr>
      </w:pPr>
      <w:r>
        <w:t xml:space="preserve">Pollan's four defenses of omnivorism</w:t>
      </w:r>
    </w:p>
    <w:p>
      <w:pPr>
        <w:pStyle w:val="Compact"/>
        <w:numPr>
          <w:numId w:val="1004"/>
          <w:ilvl w:val="1"/>
        </w:numPr>
      </w:pPr>
      <w:r>
        <w:t xml:space="preserve">Eating is part of our (cultural) identity</w:t>
      </w:r>
    </w:p>
    <w:p>
      <w:pPr>
        <w:pStyle w:val="Compact"/>
        <w:numPr>
          <w:numId w:val="1004"/>
          <w:ilvl w:val="1"/>
        </w:numPr>
      </w:pPr>
      <w:r>
        <w:t xml:space="preserve">It is suffering &amp; not pain that matters</w:t>
      </w:r>
    </w:p>
    <w:p>
      <w:pPr>
        <w:pStyle w:val="Compact"/>
        <w:numPr>
          <w:numId w:val="1004"/>
          <w:ilvl w:val="1"/>
        </w:numPr>
      </w:pPr>
      <w:r>
        <w:t xml:space="preserve">The good life of a domesticated animal is one in which it is farmed</w:t>
      </w:r>
      <w:r>
        <w:t xml:space="preserve"> </w:t>
      </w:r>
      <w:r>
        <w:t xml:space="preserve">for food</w:t>
      </w:r>
    </w:p>
    <w:p>
      <w:pPr>
        <w:pStyle w:val="Compact"/>
        <w:numPr>
          <w:numId w:val="1004"/>
          <w:ilvl w:val="1"/>
        </w:numPr>
      </w:pPr>
      <w:r>
        <w:t xml:space="preserve">Even vegan ism would require us to kill lots of animals</w:t>
      </w:r>
    </w:p>
    <w:p>
      <w:pPr>
        <w:pStyle w:val="Heading2"/>
      </w:pPr>
      <w:bookmarkStart w:id="25" w:name="famine-affluence"/>
      <w:bookmarkEnd w:id="25"/>
      <w:r>
        <w:t xml:space="preserve">Famine &amp; Affluence</w:t>
      </w:r>
    </w:p>
    <w:p>
      <w:pPr>
        <w:pStyle w:val="Compact"/>
        <w:numPr>
          <w:numId w:val="1005"/>
          <w:ilvl w:val="0"/>
        </w:numPr>
      </w:pPr>
      <w:r>
        <w:t xml:space="preserve">Food security</w:t>
      </w:r>
    </w:p>
    <w:p>
      <w:pPr>
        <w:pStyle w:val="Compact"/>
        <w:numPr>
          <w:numId w:val="1005"/>
          <w:ilvl w:val="0"/>
        </w:numPr>
      </w:pPr>
      <w:r>
        <w:t xml:space="preserve">Singer's "principle of preventing bad occurrences"</w:t>
      </w:r>
    </w:p>
    <w:p>
      <w:pPr>
        <w:pStyle w:val="Compact"/>
        <w:numPr>
          <w:numId w:val="1005"/>
          <w:ilvl w:val="0"/>
        </w:numPr>
      </w:pPr>
      <w:r>
        <w:t xml:space="preserve">Objections to Singer</w:t>
      </w:r>
    </w:p>
    <w:p>
      <w:pPr>
        <w:pStyle w:val="Compact"/>
        <w:numPr>
          <w:numId w:val="1006"/>
          <w:ilvl w:val="1"/>
        </w:numPr>
      </w:pPr>
      <w:r>
        <w:t xml:space="preserve">Erases distinction between duty &amp; supererogation</w:t>
      </w:r>
    </w:p>
    <w:p>
      <w:pPr>
        <w:pStyle w:val="Compact"/>
        <w:numPr>
          <w:numId w:val="1006"/>
          <w:ilvl w:val="1"/>
        </w:numPr>
      </w:pPr>
      <w:r>
        <w:t xml:space="preserve">Too demanding</w:t>
      </w:r>
    </w:p>
    <w:p>
      <w:pPr>
        <w:pStyle w:val="Compact"/>
        <w:numPr>
          <w:numId w:val="1006"/>
          <w:ilvl w:val="1"/>
        </w:numPr>
      </w:pPr>
      <w:r>
        <w:t xml:space="preserve">Too radical</w:t>
      </w:r>
    </w:p>
    <w:p>
      <w:pPr>
        <w:pStyle w:val="Heading2"/>
      </w:pPr>
      <w:bookmarkStart w:id="26" w:name="lifeboat-ethics"/>
      <w:bookmarkEnd w:id="26"/>
      <w:r>
        <w:t xml:space="preserve">Lifeboat Ethics</w:t>
      </w:r>
    </w:p>
    <w:p>
      <w:pPr>
        <w:pStyle w:val="Compact"/>
        <w:numPr>
          <w:numId w:val="1007"/>
          <w:ilvl w:val="0"/>
        </w:numPr>
      </w:pPr>
      <w:r>
        <w:t xml:space="preserve">Hardin on famine relief &amp; the "tragedy of the commons"</w:t>
      </w:r>
    </w:p>
    <w:p>
      <w:pPr>
        <w:pStyle w:val="Compact"/>
        <w:numPr>
          <w:numId w:val="1007"/>
          <w:ilvl w:val="0"/>
        </w:numPr>
      </w:pPr>
      <w:r>
        <w:t xml:space="preserve">Objections to Hardin</w:t>
      </w:r>
    </w:p>
    <w:p>
      <w:pPr>
        <w:pStyle w:val="Compact"/>
        <w:numPr>
          <w:numId w:val="1008"/>
          <w:ilvl w:val="1"/>
        </w:numPr>
      </w:pPr>
      <w:r>
        <w:t xml:space="preserve">Is the lifeboat metaphor really apt?</w:t>
      </w:r>
    </w:p>
    <w:p>
      <w:pPr>
        <w:pStyle w:val="Compact"/>
        <w:numPr>
          <w:numId w:val="1008"/>
          <w:ilvl w:val="1"/>
        </w:numPr>
      </w:pPr>
      <w:r>
        <w:t xml:space="preserve">Must all commons end in "tragedy"?</w:t>
      </w:r>
    </w:p>
    <w:p>
      <w:pPr>
        <w:pStyle w:val="Compact"/>
        <w:numPr>
          <w:numId w:val="1008"/>
          <w:ilvl w:val="1"/>
        </w:numPr>
      </w:pPr>
      <w:r>
        <w:t xml:space="preserve">Must all increases in food security lead to increases in population</w:t>
      </w:r>
    </w:p>
    <w:p>
      <w:pPr>
        <w:pStyle w:val="Heading2"/>
      </w:pPr>
      <w:bookmarkStart w:id="27" w:name="food-justice"/>
      <w:bookmarkEnd w:id="27"/>
      <w:r>
        <w:t xml:space="preserve">Food Justice</w:t>
      </w:r>
    </w:p>
    <w:p>
      <w:pPr>
        <w:pStyle w:val="Compact"/>
        <w:numPr>
          <w:numId w:val="1009"/>
          <w:ilvl w:val="0"/>
        </w:numPr>
      </w:pPr>
      <w:r>
        <w:t xml:space="preserve">Localism vs. globalism about food production &amp; consumption's</w:t>
      </w:r>
    </w:p>
    <w:p>
      <w:pPr>
        <w:pStyle w:val="Compact"/>
        <w:numPr>
          <w:numId w:val="1009"/>
          <w:ilvl w:val="0"/>
        </w:numPr>
      </w:pPr>
      <w:r>
        <w:t xml:space="preserve">Disadvantages of each approach</w:t>
      </w:r>
    </w:p>
    <w:p>
      <w:pPr>
        <w:pStyle w:val="Heading2"/>
      </w:pPr>
      <w:bookmarkStart w:id="28" w:name="genetically-modified-foods"/>
      <w:bookmarkEnd w:id="28"/>
      <w:r>
        <w:t xml:space="preserve">Genetically Modified Foods</w:t>
      </w:r>
    </w:p>
    <w:p>
      <w:pPr>
        <w:pStyle w:val="Compact"/>
        <w:numPr>
          <w:numId w:val="1010"/>
          <w:ilvl w:val="0"/>
        </w:numPr>
      </w:pPr>
      <w:r>
        <w:t xml:space="preserve">What are GM Foods?</w:t>
      </w:r>
    </w:p>
    <w:p>
      <w:pPr>
        <w:pStyle w:val="Compact"/>
        <w:numPr>
          <w:numId w:val="1010"/>
          <w:ilvl w:val="0"/>
        </w:numPr>
      </w:pPr>
      <w:r>
        <w:t xml:space="preserve">Intrinsic vs extrinsic objections</w:t>
      </w:r>
    </w:p>
    <w:p>
      <w:pPr>
        <w:pStyle w:val="Compact"/>
        <w:numPr>
          <w:numId w:val="1010"/>
          <w:ilvl w:val="0"/>
        </w:numPr>
      </w:pPr>
      <w:r>
        <w:t xml:space="preserve">The "unnaturalness objection"</w:t>
      </w:r>
    </w:p>
    <w:p>
      <w:pPr>
        <w:pStyle w:val="Compact"/>
        <w:numPr>
          <w:numId w:val="1010"/>
          <w:ilvl w:val="0"/>
        </w:numPr>
      </w:pPr>
      <w:r>
        <w:t xml:space="preserve">The problem of negative information</w:t>
      </w:r>
    </w:p>
    <w:p>
      <w:pPr>
        <w:pStyle w:val="Compact"/>
        <w:numPr>
          <w:numId w:val="1010"/>
          <w:ilvl w:val="0"/>
        </w:numPr>
      </w:pPr>
      <w:r>
        <w:t xml:space="preserve">The precautionary principle</w:t>
      </w:r>
    </w:p>
    <w:p>
      <w:pPr>
        <w:pStyle w:val="Heading2"/>
      </w:pPr>
      <w:bookmarkStart w:id="29" w:name="functional-foods"/>
      <w:bookmarkEnd w:id="29"/>
      <w:r>
        <w:t xml:space="preserve">Functional Foods</w:t>
      </w:r>
    </w:p>
    <w:p>
      <w:pPr>
        <w:pStyle w:val="Compact"/>
        <w:numPr>
          <w:numId w:val="1011"/>
          <w:ilvl w:val="0"/>
        </w:numPr>
      </w:pPr>
      <w:r>
        <w:t xml:space="preserve">What are "functional" foods?</w:t>
      </w:r>
    </w:p>
    <w:p>
      <w:pPr>
        <w:pStyle w:val="Compact"/>
        <w:numPr>
          <w:numId w:val="1011"/>
          <w:ilvl w:val="0"/>
        </w:numPr>
      </w:pPr>
      <w:r>
        <w:t xml:space="preserve">How are functional foods different from GM foods?</w:t>
      </w:r>
    </w:p>
    <w:p>
      <w:pPr>
        <w:pStyle w:val="Compact"/>
        <w:numPr>
          <w:numId w:val="1011"/>
          <w:ilvl w:val="0"/>
        </w:numPr>
      </w:pPr>
      <w:r>
        <w:t xml:space="preserve">Problems with functional foods</w:t>
      </w:r>
    </w:p>
    <w:p>
      <w:pPr>
        <w:pStyle w:val="Compact"/>
        <w:numPr>
          <w:numId w:val="1012"/>
          <w:ilvl w:val="1"/>
        </w:numPr>
      </w:pPr>
      <w:r>
        <w:t xml:space="preserve">Efficacy</w:t>
      </w:r>
    </w:p>
    <w:p>
      <w:pPr>
        <w:pStyle w:val="Compact"/>
        <w:numPr>
          <w:numId w:val="1012"/>
          <w:ilvl w:val="1"/>
        </w:numPr>
      </w:pPr>
      <w:r>
        <w:t xml:space="preserve">Treating food as medicinal</w:t>
      </w:r>
    </w:p>
    <w:p>
      <w:pPr>
        <w:pStyle w:val="Compact"/>
        <w:numPr>
          <w:numId w:val="1012"/>
          <w:ilvl w:val="1"/>
        </w:numPr>
      </w:pPr>
      <w:r>
        <w:t xml:space="preserve">Market forces</w:t>
      </w:r>
    </w:p>
    <w:p>
      <w:pPr>
        <w:pStyle w:val="Heading2"/>
      </w:pPr>
      <w:bookmarkStart w:id="30" w:name="the-aesthetics-of-food"/>
      <w:bookmarkEnd w:id="30"/>
      <w:r>
        <w:t xml:space="preserve">The Aesthetics of Food</w:t>
      </w:r>
    </w:p>
    <w:p>
      <w:pPr>
        <w:pStyle w:val="Compact"/>
        <w:numPr>
          <w:numId w:val="1013"/>
          <w:ilvl w:val="0"/>
        </w:numPr>
      </w:pPr>
      <w:r>
        <w:t xml:space="preserve">Can food be the kind of thing that has genuine aesthetic qualities (e.g.</w:t>
      </w:r>
      <w:r>
        <w:t xml:space="preserve"> </w:t>
      </w:r>
      <w:r>
        <w:t xml:space="preserve">beauty, grace, etc.)</w:t>
      </w:r>
    </w:p>
    <w:p>
      <w:pPr>
        <w:pStyle w:val="Compact"/>
        <w:numPr>
          <w:numId w:val="1013"/>
          <w:ilvl w:val="0"/>
        </w:numPr>
      </w:pPr>
      <w:r>
        <w:t xml:space="preserve">Taste as metaphor for critical aesthetic appraisal</w:t>
      </w:r>
    </w:p>
    <w:p>
      <w:pPr>
        <w:pStyle w:val="Compact"/>
        <w:numPr>
          <w:numId w:val="1013"/>
          <w:ilvl w:val="0"/>
        </w:numPr>
      </w:pPr>
      <w:r>
        <w:t xml:space="preserve">Three features of taste</w:t>
      </w:r>
    </w:p>
    <w:p>
      <w:pPr>
        <w:pStyle w:val="Compact"/>
        <w:numPr>
          <w:numId w:val="1014"/>
          <w:ilvl w:val="1"/>
        </w:numPr>
      </w:pPr>
      <w:r>
        <w:t xml:space="preserve">Hedonically judgmental</w:t>
      </w:r>
    </w:p>
    <w:p>
      <w:pPr>
        <w:pStyle w:val="Compact"/>
        <w:numPr>
          <w:numId w:val="1014"/>
          <w:ilvl w:val="1"/>
        </w:numPr>
      </w:pPr>
      <w:r>
        <w:t xml:space="preserve">Immediate</w:t>
      </w:r>
    </w:p>
    <w:p>
      <w:pPr>
        <w:pStyle w:val="Compact"/>
        <w:numPr>
          <w:numId w:val="1014"/>
          <w:ilvl w:val="1"/>
        </w:numPr>
      </w:pPr>
      <w:r>
        <w:t xml:space="preserve">Directly sensory</w:t>
      </w:r>
    </w:p>
    <w:p>
      <w:pPr>
        <w:pStyle w:val="Compact"/>
        <w:numPr>
          <w:numId w:val="1013"/>
          <w:ilvl w:val="0"/>
        </w:numPr>
      </w:pPr>
      <w:r>
        <w:t xml:space="preserve">Kant's criticism of an aesthetics based on mere taste</w:t>
      </w:r>
    </w:p>
    <w:p>
      <w:pPr>
        <w:pStyle w:val="Compact"/>
        <w:numPr>
          <w:numId w:val="1015"/>
          <w:ilvl w:val="1"/>
        </w:numPr>
      </w:pPr>
      <w:r>
        <w:t xml:space="preserve">Difference between taste of sense &amp; taste of reflection</w:t>
      </w:r>
    </w:p>
    <w:p>
      <w:pPr>
        <w:pStyle w:val="Compact"/>
        <w:numPr>
          <w:numId w:val="1013"/>
          <w:ilvl w:val="0"/>
        </w:numPr>
      </w:pPr>
      <w:r>
        <w:t xml:space="preserve">Sweeney's defense of food as an object of aesthetic appraisal</w:t>
      </w:r>
    </w:p>
    <w:sectPr w:rsidR="00FD52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8A458"/>
    <w:multiLevelType w:val="multilevel"/>
    <w:tmpl w:val="1488F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5E67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B341510"/>
    <w:multiLevelType w:val="multilevel"/>
    <w:tmpl w:val="F454F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539709"/>
    <w:multiLevelType w:val="multilevel"/>
    <w:tmpl w:val="8452CE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4525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7f895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655f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588D"/>
    <w:rsid w:val="004E29B3"/>
    <w:rsid w:val="00590D07"/>
    <w:rsid w:val="00784D58"/>
    <w:rsid w:val="008D6863"/>
    <w:rsid w:val="00AD2ADA"/>
    <w:rsid w:val="00B86B75"/>
    <w:rsid w:val="00BC48D5"/>
    <w:rsid w:val="00C36279"/>
    <w:rsid w:val="00C73062"/>
    <w:rsid w:val="00E315A3"/>
    <w:rsid w:val="00E954A3"/>
    <w:rsid w:val="00EC3359"/>
    <w:rsid w:val="00FD5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03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D2ADA"/>
    <w:pPr>
      <w:keepNext/>
      <w:keepLines/>
      <w:spacing w:before="720" w:after="240"/>
      <w:outlineLvl w:val="0"/>
    </w:pPr>
    <w:rPr>
      <w:rFonts w:ascii="Adobe Caslon Pro" w:eastAsiaTheme="majorEastAsia" w:hAnsi="Adobe Caslon Pr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4A3"/>
    <w:pPr>
      <w:keepNext/>
      <w:keepLines/>
      <w:spacing w:before="320" w:after="120"/>
      <w:outlineLvl w:val="1"/>
    </w:pPr>
    <w:rPr>
      <w:rFonts w:ascii="Adobe Caslon Pro" w:eastAsiaTheme="majorEastAsia" w:hAnsi="Adobe Caslon Pro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54A3"/>
    <w:pPr>
      <w:spacing w:before="240" w:after="240" w:line="360" w:lineRule="auto"/>
    </w:pPr>
    <w:rPr>
      <w:rFonts w:ascii="Adobe Caslon Pro" w:hAnsi="Adobe Caslon Pro"/>
    </w:rPr>
  </w:style>
  <w:style w:type="paragraph" w:customStyle="1" w:styleId="FirstParagraph">
    <w:name w:val="First Paragraph"/>
    <w:basedOn w:val="BodyText"/>
    <w:next w:val="BodyText"/>
    <w:qFormat/>
    <w:rsid w:val="00E954A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D2ADA"/>
    <w:pPr>
      <w:keepNext/>
      <w:keepLines/>
      <w:spacing w:before="480" w:after="240"/>
      <w:jc w:val="center"/>
    </w:pPr>
    <w:rPr>
      <w:rFonts w:ascii="Adobe Caslon Pro" w:eastAsiaTheme="majorEastAsia" w:hAnsi="Adobe Caslon Pro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D2ADA"/>
    <w:pPr>
      <w:keepNext/>
      <w:keepLines/>
      <w:jc w:val="center"/>
    </w:pPr>
    <w:rPr>
      <w:rFonts w:ascii="Adobe Caslon Pro" w:hAnsi="Adobe Caslon Pro"/>
    </w:rPr>
  </w:style>
  <w:style w:type="paragraph" w:styleId="Date">
    <w:name w:val="Date"/>
    <w:next w:val="BodyText"/>
    <w:qFormat/>
    <w:rsid w:val="00AD2ADA"/>
    <w:pPr>
      <w:keepNext/>
      <w:keepLines/>
      <w:jc w:val="center"/>
    </w:pPr>
    <w:rPr>
      <w:rFonts w:ascii="Adobe Caslon Pro" w:hAnsi="Adobe Caslon Pro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D2ADA"/>
    <w:pPr>
      <w:spacing w:before="100" w:after="100"/>
      <w:ind w:left="72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D2ADA"/>
    <w:rPr>
      <w:rFonts w:ascii="Adobe Caslon Pro" w:hAnsi="Adobe Caslon Pro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AD2ADA"/>
    <w:rPr>
      <w:rFonts w:ascii="Adobe Caslon Pro" w:hAnsi="Adobe Caslon Pro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yle1">
    <w:name w:val="Style1"/>
    <w:basedOn w:val="Title"/>
    <w:qFormat/>
    <w:rsid w:val="00AD2ADA"/>
    <w:rPr>
      <w:sz w:val="40"/>
    </w:rPr>
  </w:style>
  <w:style w:type="character" w:customStyle="1" w:styleId="BodyTextChar">
    <w:name w:val="Body Text Char"/>
    <w:basedOn w:val="DefaultParagraphFont"/>
    <w:link w:val="BodyText"/>
    <w:rsid w:val="00E954A3"/>
    <w:rPr>
      <w:rFonts w:ascii="Adobe Caslon Pro" w:hAnsi="Adobe Caslon Pro"/>
    </w:rPr>
  </w:style>
  <w:style w:type="paragraph" w:styleId="BodyTextFirstIndent">
    <w:name w:val="Body Text First Indent"/>
    <w:basedOn w:val="BodyText"/>
    <w:link w:val="BodyTextFirstIndentChar"/>
    <w:rsid w:val="00C73062"/>
    <w:pPr>
      <w:spacing w:after="20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73062"/>
    <w:rPr>
      <w:rFonts w:ascii="Adobe Caslon Pro" w:hAnsi="Adobe Caslon Pro"/>
    </w:rPr>
  </w:style>
  <w:style w:type="paragraph" w:styleId="BodyTextIndent">
    <w:name w:val="Body Text Indent"/>
    <w:basedOn w:val="Normal"/>
    <w:link w:val="BodyTextIndentChar"/>
    <w:rsid w:val="00C73062"/>
    <w:pPr>
      <w:spacing w:after="120"/>
      <w:ind w:left="360"/>
    </w:pPr>
    <w:rPr>
      <w:rFonts w:ascii="Adobe Caslon Pro" w:hAnsi="Adobe Caslon Pro"/>
    </w:rPr>
  </w:style>
  <w:style w:type="character" w:customStyle="1" w:styleId="BodyTextIndentChar">
    <w:name w:val="Body Text Indent Char"/>
    <w:basedOn w:val="DefaultParagraphFont"/>
    <w:link w:val="BodyTextIndent"/>
    <w:rsid w:val="00C73062"/>
    <w:rPr>
      <w:rFonts w:ascii="Adobe Caslon Pro" w:hAnsi="Adobe Casl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8493</Words>
  <Characters>48412</Characters>
  <Application>Microsoft Macintosh Word</Application>
  <DocSecurity>0</DocSecurity>
  <Lines>403</Lines>
  <Paragraphs>113</Paragraphs>
  <ScaleCrop>false</ScaleCrop>
  <Company/>
  <LinksUpToDate>false</LinksUpToDate>
  <CharactersWithSpaces>56792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McLear</dc:creator>
  <dcterms:created xsi:type="dcterms:W3CDTF">2017-04-26T06:26:34Z</dcterms:created>
  <dcterms:modified xsi:type="dcterms:W3CDTF">2017-04-26T06:26:34Z</dcterms:modified>
</cp:coreProperties>
</file>