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2AACA3" w14:textId="77777777" w:rsidR="00FD5297" w:rsidRDefault="00AD2ADA" w:rsidP="00EC3359">
      <w:pPr>
        <w:pStyle w:val="Title"/>
        <w:jc w:val="left"/>
      </w:pPr>
      <w:bookmarkStart w:id="0" w:name="_GoBack"/>
      <w:r>
        <w:t>Animals and Objectivity</w:t>
      </w:r>
    </w:p>
    <w:bookmarkEnd w:id="0"/>
    <w:p w14:paraId="042DC42F" w14:textId="77777777" w:rsidR="00FD5297" w:rsidRDefault="00AD2ADA" w:rsidP="00EC3359">
      <w:pPr>
        <w:pStyle w:val="Author"/>
        <w:jc w:val="left"/>
      </w:pPr>
      <w:r>
        <w:t>Colin McLear</w:t>
      </w:r>
    </w:p>
    <w:p w14:paraId="6ACBDFD1" w14:textId="77777777" w:rsidR="00FD5297" w:rsidRDefault="00FD5297">
      <w:pPr>
        <w:pStyle w:val="Date"/>
      </w:pPr>
    </w:p>
    <w:p w14:paraId="2A563D3A" w14:textId="77777777" w:rsidR="00AD2ADA" w:rsidRPr="00AD2ADA" w:rsidRDefault="00AD2ADA" w:rsidP="00AD2ADA">
      <w:pPr>
        <w:pStyle w:val="Heading1"/>
      </w:pPr>
      <w:bookmarkStart w:id="1" w:name="introduction"/>
      <w:bookmarkEnd w:id="1"/>
      <w:r>
        <w:t>Introduction</w:t>
      </w:r>
    </w:p>
    <w:p w14:paraId="4977ADEA" w14:textId="77777777" w:rsidR="00FD5297" w:rsidRDefault="00AD2ADA" w:rsidP="00E954A3">
      <w:pPr>
        <w:pStyle w:val="FirstParagraph"/>
      </w:pPr>
      <w:r>
        <w:t>Observation of the behavior of non-rational animals (hereafter "animals") reveals a rich and varied world. Whilst the natural philosophers of the seventeenth and eighteenth were well aware of this fact, there was a tendency to downplay the level of sophistication inherent in animal behavior, or to the extent that it was acknowledged, to credit it to the amazing powers of nature in yielding mechanisms with such complexity.</w:t>
      </w:r>
      <w:r>
        <w:rPr>
          <w:rStyle w:val="FootnoteReference"/>
        </w:rPr>
        <w:footnoteReference w:id="1"/>
      </w:r>
    </w:p>
    <w:p w14:paraId="7BCDA166" w14:textId="77777777" w:rsidR="00FD5297" w:rsidRDefault="00AD2ADA">
      <w:pPr>
        <w:pStyle w:val="BodyText"/>
      </w:pPr>
      <w:r>
        <w:t>Take, for example, Gareth Evans' discussion of objectivity in his 1980 "Things Without the Mind." He says,</w:t>
      </w:r>
    </w:p>
    <w:p w14:paraId="1AB5B746" w14:textId="77777777" w:rsidR="00FD5297" w:rsidRDefault="00AD2ADA">
      <w:pPr>
        <w:pStyle w:val="BlockText"/>
      </w:pPr>
      <w:r>
        <w:t>We can imagine a series of judgements ‘Warm now’, ‘Buzzing now’, made by a subject in response to changes in his sensory state, which have no objective significance at all. But we can imagine a similar series of judgements, prompted by the same changes in the subject’s sensory state, which do have such a significance: ‘now it’s warm’, ‘Now there’s a buzzing sound’---comments upon a changing world. What is involved in this change of significance? (Evans (</w:t>
      </w:r>
      <w:hyperlink w:anchor="ref-evans1985">
        <w:r>
          <w:rPr>
            <w:rStyle w:val="Hyperlink"/>
          </w:rPr>
          <w:t>1985</w:t>
        </w:r>
      </w:hyperlink>
      <w:r>
        <w:t>), 249)</w:t>
      </w:r>
    </w:p>
    <w:p w14:paraId="4844BD97" w14:textId="77777777" w:rsidR="00FD5297" w:rsidRDefault="00AD2ADA">
      <w:pPr>
        <w:pStyle w:val="FirstParagraph"/>
      </w:pPr>
      <w:r>
        <w:t xml:space="preserve">Though Evans is here talking about the objectivity of </w:t>
      </w:r>
      <w:r>
        <w:rPr>
          <w:i/>
        </w:rPr>
        <w:t>judgment</w:t>
      </w:r>
      <w:r>
        <w:t xml:space="preserve">, the same issue seems to arise for perceptual </w:t>
      </w:r>
      <w:r>
        <w:rPr>
          <w:i/>
        </w:rPr>
        <w:t>experience</w:t>
      </w:r>
      <w:r>
        <w:t xml:space="preserve"> since, even at the level of experience, there seems to be a difference between a mere succession of sensory registrations and perception of </w:t>
      </w:r>
      <w:r>
        <w:rPr>
          <w:i/>
        </w:rPr>
        <w:t>objects</w:t>
      </w:r>
      <w:r>
        <w:t>.</w:t>
      </w:r>
    </w:p>
    <w:p w14:paraId="2B3A3B30" w14:textId="77777777" w:rsidR="00FD5297" w:rsidRDefault="00AD2ADA">
      <w:pPr>
        <w:pStyle w:val="Heading1"/>
      </w:pPr>
      <w:bookmarkStart w:id="2" w:name="some-varieties-of-objectivity"/>
      <w:bookmarkStart w:id="3" w:name="objectivity-relation-to-an-object"/>
      <w:bookmarkEnd w:id="2"/>
      <w:bookmarkEnd w:id="3"/>
      <w:r>
        <w:lastRenderedPageBreak/>
        <w:t>Objectivity &amp; Relation to an Object</w:t>
      </w:r>
    </w:p>
    <w:p w14:paraId="73FD6CF0" w14:textId="77777777" w:rsidR="00FD5297" w:rsidRDefault="00AD2ADA">
      <w:pPr>
        <w:pStyle w:val="FirstParagraph"/>
      </w:pPr>
      <w:r>
        <w:t>As I noted in the introduction, Kant's discussion of objective representation in §16 of the B-deduction presents a prima facie challenge to the possibility of objective representation in non-discursive beings. Let's look at the relevant passage in full.</w:t>
      </w:r>
    </w:p>
    <w:p w14:paraId="5C491E7C" w14:textId="77777777" w:rsidR="00FD5297" w:rsidRDefault="00AD2ADA">
      <w:pPr>
        <w:pStyle w:val="BlockText"/>
      </w:pPr>
      <w:r>
        <w:t xml:space="preserve">The understanding is, to speak generally, the faculty of cognitions. This consists in the determinate relation of given representations to an object. But an object is that in the concept of which the manifold of a given intuition is united. Now, all unification of representations requires the unity of consciousness in the synthesis of the same [i.e. the representations. It follows that the unity of consciousness alone establishes </w:t>
      </w:r>
      <w:r>
        <w:rPr>
          <w:i/>
        </w:rPr>
        <w:t>ausmacht</w:t>
      </w:r>
      <w:r>
        <w:t>] the relation of representations to an object, their objective validity, and thus their becoming cognitions. (B137)</w:t>
      </w:r>
    </w:p>
    <w:p w14:paraId="7C235914" w14:textId="77777777" w:rsidR="00FD5297" w:rsidRDefault="00AD2ADA">
      <w:pPr>
        <w:pStyle w:val="FirstParagraph"/>
      </w:pPr>
      <w:r>
        <w:t>The argument consists of three premises and a conclusion:</w:t>
      </w:r>
    </w:p>
    <w:p w14:paraId="731D52E4" w14:textId="77777777" w:rsidR="00FD5297" w:rsidRDefault="00AD2ADA">
      <w:pPr>
        <w:pStyle w:val="Compact"/>
        <w:numPr>
          <w:ilvl w:val="0"/>
          <w:numId w:val="3"/>
        </w:numPr>
      </w:pPr>
      <w:r>
        <w:t>Cognition consists in the determinate relation of a given representation to an object.</w:t>
      </w:r>
    </w:p>
    <w:p w14:paraId="4701F422" w14:textId="77777777" w:rsidR="00FD5297" w:rsidRDefault="00AD2ADA">
      <w:pPr>
        <w:pStyle w:val="Compact"/>
        <w:numPr>
          <w:ilvl w:val="0"/>
          <w:numId w:val="3"/>
        </w:numPr>
      </w:pPr>
      <w:r>
        <w:t>An object is that in the concept of which the manifold of a given intuition is united.</w:t>
      </w:r>
    </w:p>
    <w:p w14:paraId="30FF8735" w14:textId="77777777" w:rsidR="00FD5297" w:rsidRDefault="00AD2ADA">
      <w:pPr>
        <w:pStyle w:val="Compact"/>
        <w:numPr>
          <w:ilvl w:val="0"/>
          <w:numId w:val="3"/>
        </w:numPr>
      </w:pPr>
      <w:r>
        <w:t>All unification of representations requires the unity of consciousness in the synthesis of those representations.</w:t>
      </w:r>
    </w:p>
    <w:p w14:paraId="55F2C156" w14:textId="77777777" w:rsidR="00FD5297" w:rsidRDefault="00AD2ADA">
      <w:pPr>
        <w:pStyle w:val="Compact"/>
        <w:numPr>
          <w:ilvl w:val="0"/>
          <w:numId w:val="3"/>
        </w:numPr>
      </w:pPr>
      <m:oMath>
        <m:r>
          <w:rPr>
            <w:rFonts w:ascii="Cambria Math" w:hAnsi="Cambria Math"/>
          </w:rPr>
          <m:t>∴</m:t>
        </m:r>
      </m:oMath>
      <w:r>
        <w:t xml:space="preserve"> The unity of consciousness alone establishes the relation of representations to an object resulting in a cognition.</w:t>
      </w:r>
    </w:p>
    <w:p w14:paraId="5CEFEC36" w14:textId="77777777" w:rsidR="00FD5297" w:rsidRDefault="00AD2ADA">
      <w:pPr>
        <w:pStyle w:val="FirstParagraph"/>
      </w:pPr>
      <w:r>
        <w:t>The validity of the argument has been disputed.</w:t>
      </w:r>
      <w:r>
        <w:rPr>
          <w:rStyle w:val="FootnoteReference"/>
        </w:rPr>
        <w:footnoteReference w:id="2"/>
      </w:r>
      <w:r>
        <w:t xml:space="preserve"> However, what interests me here is the sense in which Kant construes representation of an object in terms of cognition and the "unity" of intuition. To that end, in what follows I examine premises (1) and (2) and explain what I take Kant to mean by arguing that cognition requires the unity of </w:t>
      </w:r>
      <w:r>
        <w:lastRenderedPageBreak/>
        <w:t>consciousness in establishing the unity of the "manifold of a given intuition" of an object.</w:t>
      </w:r>
      <w:r>
        <w:rPr>
          <w:rStyle w:val="FootnoteReference"/>
        </w:rPr>
        <w:footnoteReference w:id="3"/>
      </w:r>
      <w:r>
        <w:t xml:space="preserve"> I shall argue that, contrary to several recent interpreters, Kant does not here specify necessary conditions on the generation of an intuition -- viz. that the subject of the intuition possess a spontaneity capable of synthesizing her sensory representations. Rather, Kant is specifically concerned with the conditions for </w:t>
      </w:r>
      <w:r>
        <w:rPr>
          <w:i/>
        </w:rPr>
        <w:t>cognition</w:t>
      </w:r>
      <w:r>
        <w:t>, which is a particular kind of cognitive achievement. While versions of this argument have been made elsewhere, unclarities and misunderstandings remain.</w:t>
      </w:r>
      <w:r>
        <w:rPr>
          <w:rStyle w:val="FootnoteReference"/>
        </w:rPr>
        <w:footnoteReference w:id="4"/>
      </w:r>
      <w:r>
        <w:t xml:space="preserve"> I address some of these below.</w:t>
      </w:r>
    </w:p>
    <w:p w14:paraId="7B45CA00" w14:textId="77777777" w:rsidR="00FD5297" w:rsidRDefault="00AD2ADA">
      <w:pPr>
        <w:pStyle w:val="Heading2"/>
      </w:pPr>
      <w:bookmarkStart w:id="4" w:name="premise-one-cognition-vs.-acquaintance"/>
      <w:bookmarkEnd w:id="4"/>
      <w:r>
        <w:t>Premise One: Cognition vs. Acquaintance</w:t>
      </w:r>
    </w:p>
    <w:p w14:paraId="3F6361E7" w14:textId="77777777" w:rsidR="00FD5297" w:rsidRDefault="00AD2ADA">
      <w:pPr>
        <w:pStyle w:val="FirstParagraph"/>
      </w:pPr>
      <w:r>
        <w:t xml:space="preserve">In the </w:t>
      </w:r>
      <w:r>
        <w:rPr>
          <w:i/>
        </w:rPr>
        <w:t>Jäsche Logic</w:t>
      </w:r>
      <w:r>
        <w:t xml:space="preserve"> Kant defines cognition in terms of the consciousness of the grounds of difference and identity in one's representations (JL 9:64-5). He distinguishes this from mere "acquaintance" [</w:t>
      </w:r>
      <w:r>
        <w:rPr>
          <w:i/>
        </w:rPr>
        <w:t>noscere</w:t>
      </w:r>
      <w:r>
        <w:t xml:space="preserve">; </w:t>
      </w:r>
      <w:r>
        <w:rPr>
          <w:i/>
        </w:rPr>
        <w:t>kennen</w:t>
      </w:r>
      <w:r>
        <w:t>], in which the subject is able to differentially discriminate between objects or their parts, but cannot account for the basis by which they do so (JL 9:64-5; FS 2:59-60). It is thus one thing to differentially discriminate, it is another thing to be able to articulate the basis of such discrimination.</w:t>
      </w:r>
      <w:r>
        <w:rPr>
          <w:rStyle w:val="FootnoteReference"/>
        </w:rPr>
        <w:footnoteReference w:id="5"/>
      </w:r>
      <w:r>
        <w:t xml:space="preserve"> If this is correct, then we can read Kant's use of "cognition" in premise (1) as claiming that a subject's awareness of the way in which differently discriminated representations differ (and thus their objects) consists in relating such representations to specific objects. Premises (2)-(3) claim that this requires the unity of apperception, resulting in the conclusion that the unity of apperception is required for awareness of the grounds of identity and difference amongst a subject's representations.</w:t>
      </w:r>
    </w:p>
    <w:p w14:paraId="62AFB727" w14:textId="77777777" w:rsidR="00FD5297" w:rsidRDefault="00AD2ADA">
      <w:pPr>
        <w:pStyle w:val="BodyText"/>
      </w:pPr>
      <w:r>
        <w:lastRenderedPageBreak/>
        <w:t>Kant's distinction between acquaintance and cognition might seem implausible, for the reason that it seems to postulate an ability to brutely discriminate without any awareness of what it is that moves one to do so.</w:t>
      </w:r>
      <w:r>
        <w:rPr>
          <w:rStyle w:val="FootnoteReference"/>
        </w:rPr>
        <w:footnoteReference w:id="6"/>
      </w:r>
      <w:r>
        <w:t xml:space="preserve"> For example, Kant might seem to be saying that one could discriminate between red and green colored objects without being aware of their respective colors. However, Kant need not be taken as making such a claim, and is in fact indicating an important fact about ways in which a subject's sensitivities to incoming information might lead to knowledge.</w:t>
      </w:r>
    </w:p>
    <w:p w14:paraId="0A124403" w14:textId="77777777" w:rsidR="00FD5297" w:rsidRDefault="00AD2ADA">
      <w:pPr>
        <w:pStyle w:val="BodyText"/>
      </w:pPr>
      <w:r>
        <w:t>Consider, for example, the famous "chicken sexer", whose ability to sort male from female chicks (a form of reliable differential discrimination) is done without the subject's ability to articulate the means by which they make these discriminations. We need not deny to the sexer some phenomenal awareness of the bases of their discriminations, and we certainly cannot deny their sensitivity to the information upon which they are basing their choices. What chicken sexers lack is any further capacity to integrate that sensitivity (and thus the information to which they are sensitive) in the variety of ways that are constitutive of rational thought and action.</w:t>
      </w:r>
      <w:r>
        <w:rPr>
          <w:rStyle w:val="FootnoteReference"/>
        </w:rPr>
        <w:footnoteReference w:id="7"/>
      </w:r>
      <w:r>
        <w:t xml:space="preserve"> Specifically, the sexer's perceptual sensitivity lacks several features characteristic of those cognitive states which have a more explicit connection to propositional attitudes like belief and knowledge.</w:t>
      </w:r>
      <w:r>
        <w:rPr>
          <w:rStyle w:val="FootnoteReference"/>
        </w:rPr>
        <w:footnoteReference w:id="8"/>
      </w:r>
      <w:r>
        <w:t xml:space="preserve"> First, the sexer's sensitivity to the sex of a chicken is not something that comes to them by means of any </w:t>
      </w:r>
      <w:r>
        <w:lastRenderedPageBreak/>
        <w:t>inference.</w:t>
      </w:r>
      <w:r>
        <w:rPr>
          <w:rStyle w:val="FootnoteReference"/>
        </w:rPr>
        <w:footnoteReference w:id="9"/>
      </w:r>
      <w:r>
        <w:t xml:space="preserve"> The sexer "just knows" the sex. As it turns out there are certain perceptual cues that a sexer is picking up on, and to which they can be trained to be sensitive.</w:t>
      </w:r>
      <w:r>
        <w:rPr>
          <w:rStyle w:val="FootnoteReference"/>
        </w:rPr>
        <w:footnoteReference w:id="10"/>
      </w:r>
      <w:r>
        <w:t xml:space="preserve"> But their sensitivity to these cues far outruns their ability to articulate them as the basis to which they are responding in particular cases. This doesn't mean that those cues are not showing up in the subject's experience. It just means that they need not be able to explicitly articulate those features that </w:t>
      </w:r>
      <w:r>
        <w:rPr>
          <w:i/>
        </w:rPr>
        <w:t>do</w:t>
      </w:r>
      <w:r>
        <w:t xml:space="preserve"> show up as the basis by which they render their selective verdicts (e.g. </w:t>
      </w:r>
      <w:r>
        <w:rPr>
          <w:i/>
        </w:rPr>
        <w:t>this one</w:t>
      </w:r>
      <w:r>
        <w:t xml:space="preserve"> is a male, </w:t>
      </w:r>
      <w:r>
        <w:rPr>
          <w:i/>
        </w:rPr>
        <w:t>that one</w:t>
      </w:r>
      <w:r>
        <w:t xml:space="preserve"> is a female).</w:t>
      </w:r>
    </w:p>
    <w:p w14:paraId="79C7EFB1" w14:textId="77777777" w:rsidR="00FD5297" w:rsidRDefault="00AD2ADA">
      <w:pPr>
        <w:pStyle w:val="FirstParagraph"/>
      </w:pPr>
      <w:r>
        <w:t>The cognitive states of the sexer with regard to their sortal judgments are also what we might term "attitudinally inflexible".</w:t>
      </w:r>
      <w:r>
        <w:rPr>
          <w:rStyle w:val="FootnoteReference"/>
        </w:rPr>
        <w:footnoteReference w:id="11"/>
      </w:r>
      <w:r>
        <w:t xml:space="preserve"> In contrast to the content of a propositional attitude, which can in principle be the object of various other attitudes (e.g. one could hope, fear, believe, or desire that Barack Obama is president of the U.S.), the information on the basis of which a chicken sexer renders their verdict seems to come in only one way -- as fit for a kind of conviction that something is the case.</w:t>
      </w:r>
    </w:p>
    <w:p w14:paraId="064359E2" w14:textId="77777777" w:rsidR="00FD5297" w:rsidRDefault="00AD2ADA">
      <w:pPr>
        <w:pStyle w:val="BodyText"/>
      </w:pPr>
      <w:r>
        <w:t xml:space="preserve">Thus far I've argued that Kant construes "relation to an object" in B137 in terms of </w:t>
      </w:r>
      <w:r>
        <w:rPr>
          <w:i/>
        </w:rPr>
        <w:t>cognition</w:t>
      </w:r>
      <w:r>
        <w:t xml:space="preserve"> of it, where this in turn should be understood as representation of features which are the basis of discriminations of similarity and difference. I've suggested that, in contrast, acquaintance is the mere sensitivity to similarity and difference without the ability to recognize or articulate the basis by which one renders such verdicts. I've argued that this need not be construed as some sort of brute sensitivity, but rather one which is importantly different and more basic than the ability to articulate such differences. One example of this is the chicken sexer's ability to sort male from female chicks on the basis of fine-grained perceptual discriminations that outrun the subject's capacity for explicit articulation.</w:t>
      </w:r>
    </w:p>
    <w:p w14:paraId="60DBDAE3" w14:textId="77777777" w:rsidR="00FD5297" w:rsidRDefault="00AD2ADA">
      <w:pPr>
        <w:pStyle w:val="BodyText"/>
      </w:pPr>
      <w:r>
        <w:lastRenderedPageBreak/>
        <w:t xml:space="preserve">Another example of sensitivity to similarity and difference that might also be relevant to Kant's distinction between cognition and acquaintance is the way in which a subject might be sensitive to features of an object without being sensitive to them as </w:t>
      </w:r>
      <w:r>
        <w:rPr>
          <w:i/>
        </w:rPr>
        <w:t>properties</w:t>
      </w:r>
      <w:r>
        <w:t xml:space="preserve"> of the object. For example, one might be sensitive to color in the sense that it is used to discriminate an object from others (or an object from its background) without the subject thereby employing a representation of the object's color as the relevant feature by which it performs the discrimination. John Campbell describes such a scenario as follows:</w:t>
      </w:r>
    </w:p>
    <w:p w14:paraId="6D69219C" w14:textId="77777777" w:rsidR="00FD5297" w:rsidRDefault="00AD2ADA">
      <w:pPr>
        <w:pStyle w:val="BlockText"/>
      </w:pPr>
      <w:r>
        <w:t>Recall the kind of test for colour vision that consists of a number of variously coloured dots of various sizes in a single display. The colouring of the dots may be so organized that someone with ordinary colour vision can quite plainly see a figure, say the numeral 5, picked out in some one colour, say gold. For anyone without colour vision, though, all that they can see is an array of variously shaded and variously sized dots. So an ability to identify that there is a number 5 in the array provides good evidence that the subject has ordinary colour vision. Someone who can see the figure 5 in this kind of display need not, however, be capable of visually attending to the colours of things; they may not realize that there is such a thing as colour at all. This subject is attending only to the object, the number 5, not to the characteristics which allowed him to discriminate the object. Such a person might, for all that I have said so far, be unable to report the colours of objects, or to match different objects which are the same colour. ... We can draw a distinction, then, between colour as an object-defining characteristic, in the sense in which it is only the colours of the blobs in the display that define the figure 5, and colour as a characteristic to which the subject attends.</w:t>
      </w:r>
      <w:r>
        <w:rPr>
          <w:rStyle w:val="FootnoteReference"/>
        </w:rPr>
        <w:footnoteReference w:id="12"/>
      </w:r>
    </w:p>
    <w:p w14:paraId="753B5421" w14:textId="77777777" w:rsidR="00FD5297" w:rsidRDefault="00AD2ADA">
      <w:pPr>
        <w:pStyle w:val="FirstParagraph"/>
      </w:pPr>
      <w:r>
        <w:t>Hence the fact that a feature may be "object-defining" in Campbell's sense is compatible with the subject's being unable to identify that feature as that in virtue of which the object is so differentiated, nor even to represent that feature as a general property, one which could be had by other objects or lacked by this object on other occasions.</w:t>
      </w:r>
    </w:p>
    <w:p w14:paraId="00177CF0" w14:textId="77777777" w:rsidR="00FD5297" w:rsidRDefault="00AD2ADA">
      <w:pPr>
        <w:pStyle w:val="BodyText"/>
      </w:pPr>
      <w:r>
        <w:t xml:space="preserve">The distinction between cognition and acquaintance also allows us to address one objection to the claim that, for Kant, animals could have intuitions of their environment. Stefanie Grüne has argued that a necessary condition of enjoying intuitions, understood </w:t>
      </w:r>
      <w:r>
        <w:lastRenderedPageBreak/>
        <w:t>as objective representations, is that they be conscious. Animals, according to Grüne's interpretation, do not have conscious states, hence animals cannot have intuitions. Grüne cites three reasons for her position.</w:t>
      </w:r>
      <w:r>
        <w:rPr>
          <w:rStyle w:val="FootnoteReference"/>
        </w:rPr>
        <w:footnoteReference w:id="13"/>
      </w:r>
      <w:r>
        <w:t xml:space="preserve"> First, she argues that it is not clear that Kant allows animals inner sense (e.g. FS 2:60; LM 28:277), and possession of an inner sense is a necessary condition of having any intuition at all. Second, she argues that Kant's letter to Herz of 1789 shows that "even though Kant [here] allows animals some kind of consciousness of sensible representations, this kind of consciousness is not sufficient for the having of intuitions".</w:t>
      </w:r>
      <w:r>
        <w:rPr>
          <w:rStyle w:val="FootnoteReference"/>
        </w:rPr>
        <w:footnoteReference w:id="14"/>
      </w:r>
      <w:r>
        <w:t xml:space="preserve"> Finally, she argues that, even if an animal could be conscious of its sensory representations, they could not display the unity necessary for achieving the status of intuition. I take these points in turn.</w:t>
      </w:r>
    </w:p>
    <w:p w14:paraId="2020BBE9" w14:textId="77777777" w:rsidR="00FD5297" w:rsidRDefault="00AD2ADA">
      <w:pPr>
        <w:pStyle w:val="BodyText"/>
      </w:pPr>
      <w:r>
        <w:t>The first point is easily dealt with. As Grüne herself admits, the relevant texts are from Kant's pre-Critical period, at which time he seems to conflate inner sense with apperception. Once this distinction is made it is not at all obvious that Kant wants to deny inner sense to animals, but rather only the capacity for self-reflection and self-reference.</w:t>
      </w:r>
      <w:r>
        <w:rPr>
          <w:rStyle w:val="FootnoteReference"/>
        </w:rPr>
        <w:footnoteReference w:id="15"/>
      </w:r>
    </w:p>
    <w:p w14:paraId="22D5A061" w14:textId="77777777" w:rsidR="00FD5297" w:rsidRDefault="00AD2ADA">
      <w:pPr>
        <w:pStyle w:val="BodyText"/>
      </w:pPr>
      <w:r>
        <w:t>Concerning the second point, one should first recognize as Grüne herself does, that in at least three places Kant allows for the existence of unconscious intuition (7:135; 16:88; 23:19.). Second, it isn't clear that Kant things of consciousness as an all or nothing property of a mental state. For example, Kant says in an important footnote in the Paralogisms discussion of the B-edition that,</w:t>
      </w:r>
    </w:p>
    <w:p w14:paraId="78767C55" w14:textId="77777777" w:rsidR="00FD5297" w:rsidRDefault="00AD2ADA">
      <w:pPr>
        <w:pStyle w:val="BlockText"/>
      </w:pPr>
      <w:r>
        <w:t xml:space="preserve">Clarity is not, as the logicians say, the consciousness of a representation; for a certain degree of consciousness, which, however, is not sufficient for memory, must be met with even in some obscure representations, because without any consciousness we would make no distinction in the combination of obscure representations; yet we are capable of doing this with the marks of some </w:t>
      </w:r>
      <w:r>
        <w:lastRenderedPageBreak/>
        <w:t>concepts (such as those of right and equity, or those of a musician who, when improvising, hits many notes at the same time). Rather a representation is clear if the consciousness in it is sufficient for a consciousness of the difference between it and others. To be sure, if this consciousness suffices for a distinction, but not for a consciousness of the difference, then the representation must still be called obscure. So there are infinitely many degrees of consciousness down to its vanishing. (B414-15)</w:t>
      </w:r>
    </w:p>
    <w:p w14:paraId="748CB393" w14:textId="77777777" w:rsidR="00FD5297" w:rsidRDefault="00AD2ADA">
      <w:pPr>
        <w:pStyle w:val="FirstParagraph"/>
      </w:pPr>
      <w:r>
        <w:t xml:space="preserve">Kant makes two important points here. First, he argues that we should not equate consciousness with clarity, as we need to appeal to consciousness to explain an organism's discriminatory behavior even if that organism is incapable of having clear representations. Second, Kant says that clarity cannot consist simply in differential discrimination (as it is in Wolff's work). It has to instead be correlated with an awareness of the basis of a correct discrimination. In other words, a being with clear representation has to represent not only that two (or more) things (or properties) are distinct, but what it is about them that is the basis of that distinctness. This point corresponds very nicely to Kant's distinction between acquaintance and cognition in the </w:t>
      </w:r>
      <w:r>
        <w:rPr>
          <w:i/>
        </w:rPr>
        <w:t>Jäsche Logic</w:t>
      </w:r>
      <w:r>
        <w:t>. Hence there is nothing about Kant's account of consciousness per se that would require us to deny that animals have intuition that is to some degree conscious.</w:t>
      </w:r>
    </w:p>
    <w:p w14:paraId="54D2016B" w14:textId="77777777" w:rsidR="00FD5297" w:rsidRDefault="00AD2ADA">
      <w:pPr>
        <w:pStyle w:val="BodyText"/>
      </w:pPr>
      <w:r>
        <w:t xml:space="preserve">Finally, concerning the issue of unity, Grüne argues that the objective character of an intuition is understood in terms its being a kind of </w:t>
      </w:r>
      <w:r>
        <w:rPr>
          <w:i/>
        </w:rPr>
        <w:t>intentional state</w:t>
      </w:r>
      <w:r>
        <w:t xml:space="preserve"> (Grüne (</w:t>
      </w:r>
      <w:hyperlink w:anchor="ref-grune2009">
        <w:r>
          <w:rPr>
            <w:rStyle w:val="Hyperlink"/>
          </w:rPr>
          <w:t>2009</w:t>
        </w:r>
      </w:hyperlink>
      <w:r>
        <w:t>), 40), brought about via acts of (conceptually) rule-guided synthesis on non-intentional sensory states. Grüne bases this claim in part on the canonical '</w:t>
      </w:r>
      <w:r>
        <w:rPr>
          <w:i/>
        </w:rPr>
        <w:t>Stufenleiter</w:t>
      </w:r>
      <w:r>
        <w:t xml:space="preserve">' passage in which Kant distinguishes different types of representation (A320/B376–7). However, she also cites (41) an important note from Kant’s </w:t>
      </w:r>
      <w:r>
        <w:rPr>
          <w:i/>
        </w:rPr>
        <w:t>Nachlaß</w:t>
      </w:r>
      <w:r>
        <w:t xml:space="preserve"> where he says,</w:t>
      </w:r>
    </w:p>
    <w:p w14:paraId="178D38D2" w14:textId="77777777" w:rsidR="00FD5297" w:rsidRDefault="00AD2ADA">
      <w:pPr>
        <w:pStyle w:val="BlockText"/>
      </w:pPr>
      <w:r>
        <w:t>What is an object? That whose representation is a sum of several predicates belonging to it. The plate is round, warm, made of tin, etc. Warm, round, being made of tin, etc., are not objects, although the warmth, the tin, etc., indeed [are]. An object is that in the representation of which various others can be thought as synthetically combined… (R6350, 18:676)</w:t>
      </w:r>
    </w:p>
    <w:p w14:paraId="1FC986B0" w14:textId="77777777" w:rsidR="00FD5297" w:rsidRDefault="00AD2ADA">
      <w:pPr>
        <w:pStyle w:val="FirstParagraph"/>
      </w:pPr>
      <w:r>
        <w:t xml:space="preserve">According to Grüne, relation to an object thus consists in the representation of particular features as unified in one subject. Neither this subject (nor its features) need exist (42-3). </w:t>
      </w:r>
      <w:r>
        <w:lastRenderedPageBreak/>
        <w:t>Grüne's position is that 'obscure' [</w:t>
      </w:r>
      <w:r>
        <w:rPr>
          <w:i/>
        </w:rPr>
        <w:t>dunkel</w:t>
      </w:r>
      <w:r>
        <w:t>] concepts are necessary for the kind of unity characteristic of intuition.</w:t>
      </w:r>
    </w:p>
    <w:p w14:paraId="1140E2D6" w14:textId="77777777" w:rsidR="00FD5297" w:rsidRDefault="00AD2ADA">
      <w:pPr>
        <w:pStyle w:val="BodyText"/>
      </w:pPr>
      <w:r>
        <w:t xml:space="preserve">While I think it plausible to construe intuition as a complex representation, I don't see why complex representation per se must depend entirely on the understanding or the categories (and thus on synthesis). It is true that Kant construes a particular </w:t>
      </w:r>
      <w:r>
        <w:rPr>
          <w:i/>
        </w:rPr>
        <w:t>kind</w:t>
      </w:r>
      <w:r>
        <w:t xml:space="preserve"> of unifying function -- viz. 'combination' [</w:t>
      </w:r>
      <w:r>
        <w:rPr>
          <w:i/>
        </w:rPr>
        <w:t>Verbindung</w:t>
      </w:r>
      <w:r>
        <w:t xml:space="preserve">] -- as coming about solely via spontaneous mental acts of 'synthesis', but this means of generating complexity can only be read in a narrow manner, since Kant does not include association in the category of synthetic acts, and association would seem to allow for the generation of representationally complex states. Nor is it either textually or philosophically obvious that the kind of representational capacities needed to represent (e.g.) color and shape at a particular spatial region require synthesis, so long as we are careful to distinguish such representation from that of predication/attribution or the representation of some </w:t>
      </w:r>
      <w:r>
        <w:rPr>
          <w:i/>
        </w:rPr>
        <w:t>thing</w:t>
      </w:r>
      <w:r>
        <w:t xml:space="preserve"> as the subject of properties, and which occupies the region (on this more below).</w:t>
      </w:r>
    </w:p>
    <w:p w14:paraId="014AD781" w14:textId="77777777" w:rsidR="00FD5297" w:rsidRDefault="00AD2ADA">
      <w:pPr>
        <w:pStyle w:val="BodyText"/>
      </w:pPr>
      <w:r>
        <w:t>Finally, there is reason to wonder whether the notion of unification to which Grüne appeals in the generation of intuition is really itself one brought about by a faculty of spontaneity, and so a faculty which animals lack. Grüne seems willing to characterize possession of the primitive capacity for grasping a the content of an intuition as a unity in “wholly non-intellectual terms” (Grüne (</w:t>
      </w:r>
      <w:hyperlink w:anchor="ref-grune2009">
        <w:r>
          <w:rPr>
            <w:rStyle w:val="Hyperlink"/>
          </w:rPr>
          <w:t>2009</w:t>
        </w:r>
      </w:hyperlink>
      <w:r>
        <w:t>), 202, note 16). She suggests that the possession of such a capacity should be understood as the cognitive analogue of the possession of the capacity to digest meat (ibid). But if this is correct, then it would seem that we’re no longer talking about spontaneity as Kant conceives of it, and thus no longer talking about the capacity that, according to Kant, is something lacking in animals and which makes the grasp of higher cognitive unities possible.</w:t>
      </w:r>
    </w:p>
    <w:p w14:paraId="2F3A2656" w14:textId="77777777" w:rsidR="00FD5297" w:rsidRDefault="00AD2ADA">
      <w:pPr>
        <w:pStyle w:val="BodyText"/>
      </w:pPr>
      <w:r>
        <w:t xml:space="preserve">So much then for explanation of the first premise. The recognition of the basis of similarity and difference does not, however, exhaust Kant's conception of objectivity, for he goes on, in the second premise, to argue that an object is that "in the concept of which </w:t>
      </w:r>
      <w:r>
        <w:lastRenderedPageBreak/>
        <w:t>a manifold is united" and seems to have the kinds of "unity" in mind characteristic of the categories. It is to this issue that we now turn.</w:t>
      </w:r>
    </w:p>
    <w:p w14:paraId="64DD8D1B" w14:textId="77777777" w:rsidR="00FD5297" w:rsidRDefault="00AD2ADA">
      <w:pPr>
        <w:pStyle w:val="Heading2"/>
      </w:pPr>
      <w:bookmarkStart w:id="5" w:name="premise-two-the-unity-of-intuition"/>
      <w:bookmarkEnd w:id="5"/>
      <w:r>
        <w:t>Premise Two: The Unity of Intuition</w:t>
      </w:r>
    </w:p>
    <w:p w14:paraId="227B1E50" w14:textId="77777777" w:rsidR="00FD5297" w:rsidRDefault="00AD2ADA">
      <w:pPr>
        <w:pStyle w:val="FirstParagraph"/>
      </w:pPr>
      <w:r>
        <w:t xml:space="preserve">Two examples of the kind of cognitive unity that Kant had in mind, and which are especially illustrative of the cognitive limitations facing a subject lacking the categories and the capacity of judgment, are those of </w:t>
      </w:r>
      <w:r>
        <w:rPr>
          <w:rStyle w:val="VerbatimChar"/>
        </w:rPr>
        <w:t>&lt;cause&gt;</w:t>
      </w:r>
      <w:r>
        <w:t xml:space="preserve"> and </w:t>
      </w:r>
      <w:r>
        <w:rPr>
          <w:rStyle w:val="VerbatimChar"/>
        </w:rPr>
        <w:t>&lt;substance&gt;</w:t>
      </w:r>
      <w:r>
        <w:t>.</w:t>
      </w:r>
    </w:p>
    <w:p w14:paraId="6846A898" w14:textId="77777777" w:rsidR="00FD5297" w:rsidRDefault="00AD2ADA">
      <w:pPr>
        <w:pStyle w:val="BodyText"/>
      </w:pPr>
      <w:r>
        <w:t xml:space="preserve">Without the concept </w:t>
      </w:r>
      <w:r>
        <w:rPr>
          <w:rStyle w:val="VerbatimChar"/>
        </w:rPr>
        <w:t>&lt;substance&gt;</w:t>
      </w:r>
      <w:r>
        <w:t xml:space="preserve">, a cognizer is unable to represent the relational property of </w:t>
      </w:r>
      <w:r>
        <w:rPr>
          <w:i/>
        </w:rPr>
        <w:t>inherence</w:t>
      </w:r>
      <w:r>
        <w:t xml:space="preserve">, and thus unable to represent a property instance as "belonging to" a subject of inherence. Such a cognizer could represent a particular property instance at a place or time (e.g. </w:t>
      </w:r>
      <w:r>
        <w:rPr>
          <w:i/>
        </w:rPr>
        <w:t>redness there now</w:t>
      </w:r>
      <w:r>
        <w:t xml:space="preserve">), but not as instanced </w:t>
      </w:r>
      <w:r>
        <w:rPr>
          <w:i/>
        </w:rPr>
        <w:t>in some subject</w:t>
      </w:r>
      <w:r>
        <w:t xml:space="preserve"> which itself exists at that place or time. Relatedly, without the concept </w:t>
      </w:r>
      <w:r>
        <w:rPr>
          <w:rStyle w:val="VerbatimChar"/>
        </w:rPr>
        <w:t>&lt;cause&gt;</w:t>
      </w:r>
      <w:r>
        <w:t xml:space="preserve"> a cognizer is limited in the extent to which she can identify or reidentify an object, because she cannot appeal to causal connections between a thing's properties (or between the thing and its properties) in order to explain that (e.g.) a rose which blooms today is the same as the green vine which grew last week.</w:t>
      </w:r>
      <w:r>
        <w:rPr>
          <w:rStyle w:val="FootnoteReference"/>
        </w:rPr>
        <w:footnoteReference w:id="16"/>
      </w:r>
    </w:p>
    <w:p w14:paraId="79BEBEA2" w14:textId="77777777" w:rsidR="00FD5297" w:rsidRDefault="00AD2ADA">
      <w:pPr>
        <w:pStyle w:val="BodyText"/>
      </w:pPr>
      <w:r>
        <w:t xml:space="preserve">The lack of such categorial concepts in animals is not simply a lack of ability to make particular kinds of </w:t>
      </w:r>
      <w:r>
        <w:rPr>
          <w:i/>
        </w:rPr>
        <w:t>judgment</w:t>
      </w:r>
      <w:r>
        <w:t xml:space="preserve">. It is plausible I think to read Kant as denying to animals the ability to have particular kinds of </w:t>
      </w:r>
      <w:r>
        <w:rPr>
          <w:i/>
        </w:rPr>
        <w:t>experiences</w:t>
      </w:r>
      <w:r>
        <w:t xml:space="preserve"> (in our contemporary sense of that term, not Kant's technical sense). The reason for this denial is that Kant is clear, especially in the second edition of the first </w:t>
      </w:r>
      <w:r>
        <w:rPr>
          <w:i/>
        </w:rPr>
        <w:t>Critique</w:t>
      </w:r>
      <w:r>
        <w:t xml:space="preserve">, that imagination plays a role in relating intuitions (or the contents thereof) to one another, and that this is supposed to be governed, in adult </w:t>
      </w:r>
      <w:r>
        <w:lastRenderedPageBreak/>
        <w:t>rational humans, by a non-judgmental application of the categories (e.g. A101, A119, B151ff).</w:t>
      </w:r>
      <w:r>
        <w:rPr>
          <w:rStyle w:val="FootnoteReference"/>
        </w:rPr>
        <w:footnoteReference w:id="17"/>
      </w:r>
    </w:p>
    <w:p w14:paraId="25A450E1" w14:textId="77777777" w:rsidR="00FD5297" w:rsidRDefault="00AD2ADA">
      <w:pPr>
        <w:pStyle w:val="BodyText"/>
      </w:pPr>
      <w:r>
        <w:t>If the above is correct, then the intuitive sensory representations of animals, and thus their perceptual experience, are themselves going to be limited in the various ways related to the cognitive roles of the various respective categories. I have here elaborated what I take to be two absolutely central aspects of adult human experience -- viz. (i) the perceptual awareness of the subjects of the properties one perceives and (ii) the causal connectedness of such a subject, both to its ever changing properties, and to other things and their properties. In the next section I discuss what remains for an animal of objective representation when such cognitive resources have been excluded.</w:t>
      </w:r>
    </w:p>
    <w:p w14:paraId="1382FDBA" w14:textId="00687E51" w:rsidR="00FD5297" w:rsidRDefault="00AD2ADA">
      <w:pPr>
        <w:pStyle w:val="BodyText"/>
      </w:pPr>
      <w:bookmarkStart w:id="6" w:name="objectivity-without-objects"/>
      <w:bookmarkEnd w:id="6"/>
      <w:proofErr w:type="gramStart"/>
      <w:r>
        <w:t>adult</w:t>
      </w:r>
      <w:proofErr w:type="gramEnd"/>
      <w:r>
        <w:t xml:space="preserve"> rational human experience.</w:t>
      </w:r>
    </w:p>
    <w:p w14:paraId="234C9620" w14:textId="77777777" w:rsidR="00FD5297" w:rsidRDefault="00AD2ADA">
      <w:pPr>
        <w:pStyle w:val="Heading1"/>
      </w:pPr>
      <w:bookmarkStart w:id="7" w:name="conclusion"/>
      <w:bookmarkEnd w:id="7"/>
      <w:r>
        <w:t>Conclusion</w:t>
      </w:r>
    </w:p>
    <w:p w14:paraId="4C27FD07" w14:textId="77777777" w:rsidR="00FD5297" w:rsidRDefault="00AD2ADA">
      <w:pPr>
        <w:pStyle w:val="FirstParagraph"/>
      </w:pPr>
      <w:r>
        <w:t>For Kant, possession of the suite of capacities necessary for rational thought was an all or nothing affair. Either one has the capacity to reason and judge or one does not. In doing this he clearly denies to non-rational animals any of the abilities to reason which are characteristic of (at least some) adult humans. Nevertheless, Kant denies that animals are mere mechanisms, or that there no cognitive state which can be ascribed to them beyond some level of sensitivity to their environment. Kant is in a position to ascribe to animals a level of cognitive sophistication that is, I have argued, minimally objective. Theirs is not a walled garden of mere sensation. But it is not the world as we experience either. Instead, animals experience a world which presents itself strictly in relation to the animal's needs and interests.</w:t>
      </w:r>
    </w:p>
    <w:p w14:paraId="3522C03F" w14:textId="77777777" w:rsidR="00FD5297" w:rsidRDefault="00AD2ADA">
      <w:pPr>
        <w:pStyle w:val="Heading1"/>
      </w:pPr>
      <w:bookmarkStart w:id="8" w:name="references"/>
      <w:bookmarkEnd w:id="8"/>
      <w:r>
        <w:lastRenderedPageBreak/>
        <w:t>References</w:t>
      </w:r>
    </w:p>
    <w:p w14:paraId="11360E67" w14:textId="77777777" w:rsidR="00FD5297" w:rsidRDefault="00AD2ADA">
      <w:pPr>
        <w:pStyle w:val="FirstParagraph"/>
      </w:pPr>
      <w:r>
        <w:t xml:space="preserve">    </w:t>
      </w:r>
    </w:p>
    <w:p w14:paraId="61D32CE7" w14:textId="77777777" w:rsidR="00FD5297" w:rsidRDefault="00AD2ADA">
      <w:pPr>
        <w:pStyle w:val="Bibliography"/>
      </w:pPr>
      <w:r>
        <w:t xml:space="preserve">Allais, Lucy. 2009. “Kant, Non-Conceptual Content and the Representation of Space.” </w:t>
      </w:r>
      <w:r>
        <w:rPr>
          <w:i/>
        </w:rPr>
        <w:t>Journal of the History of Philosophy</w:t>
      </w:r>
      <w:r>
        <w:t xml:space="preserve"> 47 (3). The Johns Hopkins University Press: 383–413. </w:t>
      </w:r>
      <w:hyperlink r:id="rId8">
        <w:r>
          <w:rPr>
            <w:rStyle w:val="Hyperlink"/>
          </w:rPr>
          <w:t>doi:10.1353/hph.0.0134</w:t>
        </w:r>
      </w:hyperlink>
      <w:r>
        <w:t>.</w:t>
      </w:r>
    </w:p>
    <w:p w14:paraId="7D6E8F8D" w14:textId="77777777" w:rsidR="00FD5297" w:rsidRDefault="00AD2ADA">
      <w:pPr>
        <w:pStyle w:val="Bibliography"/>
      </w:pPr>
      <w:r>
        <w:t xml:space="preserve">———. 2011. “Transcendental Idealism and the Transcendental Deduction.” In </w:t>
      </w:r>
      <w:r>
        <w:rPr>
          <w:i/>
        </w:rPr>
        <w:t>5</w:t>
      </w:r>
      <w:r>
        <w:t xml:space="preserve">, edited by Dennis Schulting and Jacco Verburgt, 66:91–107. The New Synthese Historical Library. Dordrecht: Springer Netherlands. </w:t>
      </w:r>
      <w:hyperlink r:id="rId9">
        <w:r>
          <w:rPr>
            <w:rStyle w:val="Hyperlink"/>
          </w:rPr>
          <w:t>doi:10.1007/978-90-481-9719-4_5</w:t>
        </w:r>
      </w:hyperlink>
      <w:r>
        <w:t>.</w:t>
      </w:r>
    </w:p>
    <w:p w14:paraId="15861B2C" w14:textId="77777777" w:rsidR="00FD5297" w:rsidRDefault="00AD2ADA">
      <w:pPr>
        <w:pStyle w:val="Bibliography"/>
      </w:pPr>
      <w:r>
        <w:t xml:space="preserve">Allison, Henry E. 2004. </w:t>
      </w:r>
      <w:r>
        <w:rPr>
          <w:i/>
        </w:rPr>
        <w:t>Kant’s Transcendental Idealism: Revised and Enlarged</w:t>
      </w:r>
      <w:r>
        <w:t>. 2nd ed. New Haven: Yale University Press.</w:t>
      </w:r>
    </w:p>
    <w:p w14:paraId="54CD1FB4" w14:textId="77777777" w:rsidR="00FD5297" w:rsidRDefault="00AD2ADA">
      <w:pPr>
        <w:pStyle w:val="Bibliography"/>
      </w:pPr>
      <w:r>
        <w:t xml:space="preserve">Andrews, Kristin. 2014. </w:t>
      </w:r>
      <w:r>
        <w:rPr>
          <w:i/>
        </w:rPr>
        <w:t>The Animal Mind: An Introduction to the Philosophy of Animal Cognition</w:t>
      </w:r>
      <w:r>
        <w:t>. London: Routledge.</w:t>
      </w:r>
    </w:p>
    <w:p w14:paraId="5C46297C" w14:textId="77777777" w:rsidR="00FD5297" w:rsidRDefault="00AD2ADA">
      <w:pPr>
        <w:pStyle w:val="Bibliography"/>
      </w:pPr>
      <w:r>
        <w:t xml:space="preserve">Bermúdez, José Luis. 2003. </w:t>
      </w:r>
      <w:r>
        <w:rPr>
          <w:i/>
        </w:rPr>
        <w:t>Thinking Without Words</w:t>
      </w:r>
      <w:r>
        <w:t>. Oxford ; New York: Oxford University Press.</w:t>
      </w:r>
    </w:p>
    <w:p w14:paraId="0AB265DF" w14:textId="77777777" w:rsidR="00FD5297" w:rsidRDefault="00AD2ADA">
      <w:pPr>
        <w:pStyle w:val="Bibliography"/>
      </w:pPr>
      <w:r>
        <w:t xml:space="preserve">Bird, Graham. 1962. </w:t>
      </w:r>
      <w:r>
        <w:rPr>
          <w:i/>
        </w:rPr>
        <w:t>Kant’s Theory of Knowledge: An Outline of One Central Argument in the Critique of Pure Reason</w:t>
      </w:r>
      <w:r>
        <w:t>. London: Routledge &amp; Kegan Paul.</w:t>
      </w:r>
    </w:p>
    <w:p w14:paraId="78FADE18" w14:textId="77777777" w:rsidR="00FD5297" w:rsidRDefault="00AD2ADA">
      <w:pPr>
        <w:pStyle w:val="Bibliography"/>
      </w:pPr>
      <w:r>
        <w:t xml:space="preserve">Block, Ned. 1995. “On a Confusion About a Function of Consciousness.” </w:t>
      </w:r>
      <w:r>
        <w:rPr>
          <w:i/>
        </w:rPr>
        <w:t>Sciences</w:t>
      </w:r>
      <w:r>
        <w:t xml:space="preserve"> 18 (2): 227–47.</w:t>
      </w:r>
    </w:p>
    <w:p w14:paraId="4B2746DD" w14:textId="77777777" w:rsidR="00FD5297" w:rsidRDefault="00AD2ADA">
      <w:pPr>
        <w:pStyle w:val="Bibliography"/>
      </w:pPr>
      <w:r>
        <w:t xml:space="preserve">———. 2008. “Consciousness and Cognitive Access.” </w:t>
      </w:r>
      <w:r>
        <w:rPr>
          <w:i/>
        </w:rPr>
        <w:t>Proceedings of the Aristotelian Society</w:t>
      </w:r>
      <w:r>
        <w:t xml:space="preserve"> 108: 289–317. </w:t>
      </w:r>
      <w:hyperlink r:id="rId10">
        <w:r>
          <w:rPr>
            <w:rStyle w:val="Hyperlink"/>
          </w:rPr>
          <w:t>doi:10.1111/j.1467-9264.2008.00247.x</w:t>
        </w:r>
      </w:hyperlink>
      <w:r>
        <w:t>.</w:t>
      </w:r>
    </w:p>
    <w:p w14:paraId="3CD667C6" w14:textId="77777777" w:rsidR="00FD5297" w:rsidRDefault="00AD2ADA">
      <w:pPr>
        <w:pStyle w:val="Bibliography"/>
      </w:pPr>
      <w:r>
        <w:t xml:space="preserve">Campbell, John. 1994. “Objects and Objectivity.” In </w:t>
      </w:r>
      <w:r>
        <w:rPr>
          <w:i/>
        </w:rPr>
        <w:t>Objectivity, Simulation and the Unity of Consciousness</w:t>
      </w:r>
      <w:r>
        <w:t>, edited by Christopher Peacocke, 83:3–20. Oxford: Oxford University Press.</w:t>
      </w:r>
    </w:p>
    <w:p w14:paraId="0857E875" w14:textId="77777777" w:rsidR="00FD5297" w:rsidRDefault="00AD2ADA">
      <w:pPr>
        <w:pStyle w:val="Bibliography"/>
      </w:pPr>
      <w:r>
        <w:t xml:space="preserve">———. 2002. </w:t>
      </w:r>
      <w:r>
        <w:rPr>
          <w:i/>
        </w:rPr>
        <w:t>Reference and Consciousness</w:t>
      </w:r>
      <w:r>
        <w:t>. Oxford: Oxford University Press.</w:t>
      </w:r>
    </w:p>
    <w:p w14:paraId="2F7D7598" w14:textId="77777777" w:rsidR="00FD5297" w:rsidRDefault="00AD2ADA">
      <w:pPr>
        <w:pStyle w:val="Bibliography"/>
      </w:pPr>
      <w:r>
        <w:t xml:space="preserve">———. 2006. “Manipulating Colours: Pounding an Almond.” In </w:t>
      </w:r>
      <w:r>
        <w:rPr>
          <w:i/>
        </w:rPr>
        <w:t>Perceptual Experience</w:t>
      </w:r>
      <w:r>
        <w:t>, edited by Tamar Gendler and John Hawthorne, 31–48. Oxford: Oxford University Press.</w:t>
      </w:r>
    </w:p>
    <w:p w14:paraId="7B151EAF" w14:textId="77777777" w:rsidR="00FD5297" w:rsidRDefault="00AD2ADA">
      <w:pPr>
        <w:pStyle w:val="Bibliography"/>
      </w:pPr>
      <w:r>
        <w:t xml:space="preserve">Cheries, Erik W., Stephen R. Mitroff, Karen Wynn, and Brian J. Scholl. 2008. “Cohesion as a Constraint on Object Persistence in Infancy.” </w:t>
      </w:r>
      <w:r>
        <w:rPr>
          <w:i/>
        </w:rPr>
        <w:t>Developmental Science</w:t>
      </w:r>
      <w:r>
        <w:t xml:space="preserve"> 11 (3). Wiley Online Library: 427–32.</w:t>
      </w:r>
    </w:p>
    <w:p w14:paraId="744710F0" w14:textId="77777777" w:rsidR="00FD5297" w:rsidRDefault="00AD2ADA">
      <w:pPr>
        <w:pStyle w:val="Bibliography"/>
      </w:pPr>
      <w:r>
        <w:t xml:space="preserve">Condillac, E. B. de. 1930. </w:t>
      </w:r>
      <w:r>
        <w:rPr>
          <w:i/>
        </w:rPr>
        <w:t>Treatise on the Sensations (G. Carr, Trans.)</w:t>
      </w:r>
      <w:r>
        <w:t>. Los Angeles: University of Southern California School of Philosophy. (Original work published 1754).</w:t>
      </w:r>
    </w:p>
    <w:p w14:paraId="6561C0A5" w14:textId="77777777" w:rsidR="00FD5297" w:rsidRDefault="00AD2ADA">
      <w:pPr>
        <w:pStyle w:val="Bibliography"/>
      </w:pPr>
      <w:r>
        <w:lastRenderedPageBreak/>
        <w:t xml:space="preserve">Cottingham, John. 1978. “A Brute to the Brutes?: Descartes’ Treatment of Animals.” </w:t>
      </w:r>
      <w:r>
        <w:rPr>
          <w:i/>
        </w:rPr>
        <w:t>Philosophy</w:t>
      </w:r>
      <w:r>
        <w:t xml:space="preserve"> 53 (206). Cambridge Univ Press: 551–59. </w:t>
      </w:r>
      <w:hyperlink r:id="rId11">
        <w:r>
          <w:rPr>
            <w:rStyle w:val="Hyperlink"/>
          </w:rPr>
          <w:t>http://www.jstor.org/stable/3749880</w:t>
        </w:r>
      </w:hyperlink>
      <w:r>
        <w:t>.</w:t>
      </w:r>
    </w:p>
    <w:p w14:paraId="722864B6" w14:textId="77777777" w:rsidR="00FD5297" w:rsidRDefault="00AD2ADA">
      <w:pPr>
        <w:pStyle w:val="Bibliography"/>
      </w:pPr>
      <w:r>
        <w:t xml:space="preserve">Dummett, Michael. 1993. </w:t>
      </w:r>
      <w:r>
        <w:rPr>
          <w:i/>
        </w:rPr>
        <w:t>Origins of Analytical Philosophy</w:t>
      </w:r>
      <w:r>
        <w:t>. London: Gerald Duckworth &amp; Co.</w:t>
      </w:r>
    </w:p>
    <w:p w14:paraId="12AC941B" w14:textId="77777777" w:rsidR="00FD5297" w:rsidRDefault="00AD2ADA">
      <w:pPr>
        <w:pStyle w:val="Bibliography"/>
      </w:pPr>
      <w:r>
        <w:t xml:space="preserve">Dunlop, Katherine. 2016. “Understanding Non-Conceptual Representation of Objects: Empirical Models of Sensibility’s Operation.” In </w:t>
      </w:r>
      <w:r>
        <w:rPr>
          <w:i/>
        </w:rPr>
        <w:t>Kant and the Mind</w:t>
      </w:r>
      <w:r>
        <w:t>, edited by Anil Gomes and Andrew Stephenson. Oxford: Oxford University Press.</w:t>
      </w:r>
    </w:p>
    <w:p w14:paraId="01BA7833" w14:textId="77777777" w:rsidR="00FD5297" w:rsidRDefault="00AD2ADA">
      <w:pPr>
        <w:pStyle w:val="Bibliography"/>
      </w:pPr>
      <w:r>
        <w:t xml:space="preserve">Dyck, Corey W. 2011. “A Wolff in Kant’s Clothing: Christian Wolff’s Influence on Kant’s Accounts of Consciousness, Self-Consciousness, and Psychology.” </w:t>
      </w:r>
      <w:r>
        <w:rPr>
          <w:i/>
        </w:rPr>
        <w:t>Philosophy Compass</w:t>
      </w:r>
      <w:r>
        <w:t xml:space="preserve"> 6 (1): 44–53. </w:t>
      </w:r>
      <w:hyperlink r:id="rId12">
        <w:r>
          <w:rPr>
            <w:rStyle w:val="Hyperlink"/>
          </w:rPr>
          <w:t>doi:10.1111/j.1747-9991.2010.00370.x</w:t>
        </w:r>
      </w:hyperlink>
      <w:r>
        <w:t>.</w:t>
      </w:r>
    </w:p>
    <w:p w14:paraId="69A1EC54" w14:textId="77777777" w:rsidR="00FD5297" w:rsidRDefault="00AD2ADA">
      <w:pPr>
        <w:pStyle w:val="Bibliography"/>
      </w:pPr>
      <w:r>
        <w:t xml:space="preserve">Eilan, Naomi. 1997. “Objectivity and the Perspective of Consciousness.” </w:t>
      </w:r>
      <w:r>
        <w:rPr>
          <w:i/>
        </w:rPr>
        <w:t>European Journal of Philosophy</w:t>
      </w:r>
      <w:r>
        <w:t xml:space="preserve"> 5 (3): 235–50. </w:t>
      </w:r>
      <w:hyperlink r:id="rId13">
        <w:r>
          <w:rPr>
            <w:rStyle w:val="Hyperlink"/>
          </w:rPr>
          <w:t>doi:10.1111/1468-0378.00038</w:t>
        </w:r>
      </w:hyperlink>
      <w:r>
        <w:t>.</w:t>
      </w:r>
    </w:p>
    <w:p w14:paraId="03F44E61" w14:textId="77777777" w:rsidR="00FD5297" w:rsidRDefault="00AD2ADA">
      <w:pPr>
        <w:pStyle w:val="Bibliography"/>
      </w:pPr>
      <w:r>
        <w:t xml:space="preserve">Evans, Gareth. 1982. </w:t>
      </w:r>
      <w:r>
        <w:rPr>
          <w:i/>
        </w:rPr>
        <w:t>The Varieties of Reference</w:t>
      </w:r>
      <w:r>
        <w:t>. Edited by John McDowell. Oxford: Oxford University Press.</w:t>
      </w:r>
    </w:p>
    <w:p w14:paraId="4E6F8D05" w14:textId="77777777" w:rsidR="00FD5297" w:rsidRDefault="00AD2ADA">
      <w:pPr>
        <w:pStyle w:val="Bibliography"/>
      </w:pPr>
      <w:r>
        <w:t xml:space="preserve">———. 1985. </w:t>
      </w:r>
      <w:r>
        <w:rPr>
          <w:i/>
        </w:rPr>
        <w:t>Collected Papers</w:t>
      </w:r>
      <w:r>
        <w:t>. Oxford University Press, USA.</w:t>
      </w:r>
    </w:p>
    <w:p w14:paraId="2881D1FC" w14:textId="77777777" w:rsidR="00FD5297" w:rsidRDefault="00AD2ADA">
      <w:pPr>
        <w:pStyle w:val="Bibliography"/>
      </w:pPr>
      <w:r>
        <w:t xml:space="preserve">Feldman, Heidi Li. 1994. “Objectivity in Legal Judgment.” </w:t>
      </w:r>
      <w:r>
        <w:rPr>
          <w:i/>
        </w:rPr>
        <w:t>Michigan Law Review</w:t>
      </w:r>
      <w:r>
        <w:t xml:space="preserve"> 92 (5). JSTOR: 1187. </w:t>
      </w:r>
      <w:hyperlink r:id="rId14">
        <w:r>
          <w:rPr>
            <w:rStyle w:val="Hyperlink"/>
          </w:rPr>
          <w:t>doi:10.2307/1289631</w:t>
        </w:r>
      </w:hyperlink>
      <w:r>
        <w:t>.</w:t>
      </w:r>
    </w:p>
    <w:p w14:paraId="176169DF" w14:textId="77777777" w:rsidR="00FD5297" w:rsidRDefault="00AD2ADA">
      <w:pPr>
        <w:pStyle w:val="Bibliography"/>
      </w:pPr>
      <w:r>
        <w:t xml:space="preserve">Ginsborg, Hannah. 2006. “Kant and the Problem of Experience.” </w:t>
      </w:r>
      <w:r>
        <w:rPr>
          <w:i/>
        </w:rPr>
        <w:t>Philosophical Topics</w:t>
      </w:r>
      <w:r>
        <w:t xml:space="preserve"> 34 (1&amp;2): 59–106. </w:t>
      </w:r>
      <w:hyperlink r:id="rId15">
        <w:r>
          <w:rPr>
            <w:rStyle w:val="Hyperlink"/>
          </w:rPr>
          <w:t>doi:10.5840/philtopics2006341/24</w:t>
        </w:r>
      </w:hyperlink>
      <w:r>
        <w:t>.</w:t>
      </w:r>
    </w:p>
    <w:p w14:paraId="0F2741C4" w14:textId="77777777" w:rsidR="00FD5297" w:rsidRDefault="00AD2ADA">
      <w:pPr>
        <w:pStyle w:val="Bibliography"/>
      </w:pPr>
      <w:r>
        <w:t xml:space="preserve">———. 2008. “Was Kant a Nonconceptualist?” </w:t>
      </w:r>
      <w:r>
        <w:rPr>
          <w:i/>
        </w:rPr>
        <w:t>Philosophical Studies</w:t>
      </w:r>
      <w:r>
        <w:t xml:space="preserve"> 137 (1). Springer: 65–77. </w:t>
      </w:r>
      <w:hyperlink r:id="rId16">
        <w:r>
          <w:rPr>
            <w:rStyle w:val="Hyperlink"/>
          </w:rPr>
          <w:t>doi:10.1007/s11098-007-9163-3</w:t>
        </w:r>
      </w:hyperlink>
      <w:r>
        <w:t>.</w:t>
      </w:r>
    </w:p>
    <w:p w14:paraId="7012C70E" w14:textId="77777777" w:rsidR="00FD5297" w:rsidRDefault="00AD2ADA">
      <w:pPr>
        <w:pStyle w:val="Bibliography"/>
      </w:pPr>
      <w:r>
        <w:t xml:space="preserve">Grüne, Stefanie. 2009. </w:t>
      </w:r>
      <w:r>
        <w:rPr>
          <w:i/>
        </w:rPr>
        <w:t>Blinde Anschauung</w:t>
      </w:r>
      <w:r>
        <w:t>. Frankfurt am Main: Vittorio Klostermann.</w:t>
      </w:r>
    </w:p>
    <w:p w14:paraId="1B6B4F89" w14:textId="77777777" w:rsidR="00FD5297" w:rsidRDefault="00AD2ADA">
      <w:pPr>
        <w:pStyle w:val="Bibliography"/>
      </w:pPr>
      <w:r>
        <w:t xml:space="preserve">———. 2014. “Reply to Colin McLear.” </w:t>
      </w:r>
      <w:r>
        <w:rPr>
          <w:i/>
        </w:rPr>
        <w:t>Virtual Critique</w:t>
      </w:r>
      <w:r>
        <w:t xml:space="preserve">. </w:t>
      </w:r>
      <w:hyperlink r:id="rId17">
        <w:r>
          <w:rPr>
            <w:rStyle w:val="Hyperlink"/>
          </w:rPr>
          <w:t>http://virtualcritique.wordpress.com/2014/08/20/reply-to-colin-mclear/</w:t>
        </w:r>
      </w:hyperlink>
      <w:r>
        <w:t>.</w:t>
      </w:r>
    </w:p>
    <w:p w14:paraId="7ED70086" w14:textId="77777777" w:rsidR="00FD5297" w:rsidRDefault="00AD2ADA">
      <w:pPr>
        <w:pStyle w:val="Bibliography"/>
      </w:pPr>
      <w:r>
        <w:t xml:space="preserve">Guyer, Paul. 1987. </w:t>
      </w:r>
      <w:r>
        <w:rPr>
          <w:i/>
        </w:rPr>
        <w:t>Kant and the Claims of Knowledge</w:t>
      </w:r>
      <w:r>
        <w:t>. Cambridge: Cambridge University Press.</w:t>
      </w:r>
    </w:p>
    <w:p w14:paraId="193C1901" w14:textId="77777777" w:rsidR="00FD5297" w:rsidRDefault="00AD2ADA">
      <w:pPr>
        <w:pStyle w:val="Bibliography"/>
      </w:pPr>
      <w:r>
        <w:t xml:space="preserve">Hanna, Robert. 2005. “Kant and Nonconceptual Content.” </w:t>
      </w:r>
      <w:r>
        <w:rPr>
          <w:i/>
        </w:rPr>
        <w:t>European Journal of Philosophy</w:t>
      </w:r>
      <w:r>
        <w:t xml:space="preserve"> 13 (2): 247–90. </w:t>
      </w:r>
      <w:hyperlink r:id="rId18">
        <w:r>
          <w:rPr>
            <w:rStyle w:val="Hyperlink"/>
          </w:rPr>
          <w:t>doi:10.1111/j.0966-8373.2005.00229.x</w:t>
        </w:r>
      </w:hyperlink>
      <w:r>
        <w:t>.</w:t>
      </w:r>
    </w:p>
    <w:p w14:paraId="31980CD0" w14:textId="77777777" w:rsidR="00FD5297" w:rsidRDefault="00AD2ADA">
      <w:pPr>
        <w:pStyle w:val="Bibliography"/>
      </w:pPr>
      <w:r>
        <w:t xml:space="preserve">Kitcher, Patricia. 2010. </w:t>
      </w:r>
      <w:r>
        <w:rPr>
          <w:i/>
        </w:rPr>
        <w:t>Kant’s Thinker</w:t>
      </w:r>
      <w:r>
        <w:t>. Oxford University Press.</w:t>
      </w:r>
    </w:p>
    <w:p w14:paraId="31304C0C" w14:textId="77777777" w:rsidR="00FD5297" w:rsidRDefault="00AD2ADA">
      <w:pPr>
        <w:pStyle w:val="Bibliography"/>
      </w:pPr>
      <w:r>
        <w:t xml:space="preserve">Korsgaard, Christine M. 2003. “Realism and Constructivism in Twentieth-Century Moral Philosophy.” </w:t>
      </w:r>
      <w:r>
        <w:rPr>
          <w:i/>
        </w:rPr>
        <w:t>Journal of Philosophical Research</w:t>
      </w:r>
      <w:r>
        <w:t xml:space="preserve"> 28 (Supplement): 99–122.</w:t>
      </w:r>
    </w:p>
    <w:p w14:paraId="24E242F3" w14:textId="77777777" w:rsidR="00FD5297" w:rsidRDefault="00AD2ADA">
      <w:pPr>
        <w:pStyle w:val="Bibliography"/>
      </w:pPr>
      <w:r>
        <w:t xml:space="preserve">Land, Thomas. 2015. “Nonconceptualist Readings of Kant and the Transcendental Deduction.” </w:t>
      </w:r>
      <w:r>
        <w:rPr>
          <w:i/>
        </w:rPr>
        <w:t>Kantian Review</w:t>
      </w:r>
      <w:r>
        <w:t xml:space="preserve"> 20 (1): 25–51. </w:t>
      </w:r>
      <w:hyperlink r:id="rId19">
        <w:r>
          <w:rPr>
            <w:rStyle w:val="Hyperlink"/>
          </w:rPr>
          <w:t>doi:10.1017/S1369415414000272</w:t>
        </w:r>
      </w:hyperlink>
      <w:r>
        <w:t>.</w:t>
      </w:r>
    </w:p>
    <w:p w14:paraId="172F2EE9" w14:textId="77777777" w:rsidR="00FD5297" w:rsidRDefault="00AD2ADA">
      <w:pPr>
        <w:pStyle w:val="Bibliography"/>
      </w:pPr>
      <w:r>
        <w:lastRenderedPageBreak/>
        <w:t xml:space="preserve">———. “No Other Use Than in Judgment? Kant on Concepts and Sensible Synthesis.” </w:t>
      </w:r>
      <w:r>
        <w:rPr>
          <w:i/>
        </w:rPr>
        <w:t>Journal of the History of Philosophy</w:t>
      </w:r>
      <w:r>
        <w:t>.</w:t>
      </w:r>
    </w:p>
    <w:p w14:paraId="082750D4" w14:textId="77777777" w:rsidR="00FD5297" w:rsidRDefault="00AD2ADA">
      <w:pPr>
        <w:pStyle w:val="Bibliography"/>
      </w:pPr>
      <w:r>
        <w:t xml:space="preserve">Longuenesse, Béatrice. 1998. </w:t>
      </w:r>
      <w:r>
        <w:rPr>
          <w:i/>
        </w:rPr>
        <w:t>Kant and the Capacity to Judge</w:t>
      </w:r>
      <w:r>
        <w:t>. Princeton: Princeton University Press.</w:t>
      </w:r>
    </w:p>
    <w:p w14:paraId="6754809F" w14:textId="77777777" w:rsidR="00FD5297" w:rsidRDefault="00AD2ADA">
      <w:pPr>
        <w:pStyle w:val="Bibliography"/>
      </w:pPr>
      <w:r>
        <w:t xml:space="preserve">McDowell, John. 1996. </w:t>
      </w:r>
      <w:r>
        <w:rPr>
          <w:i/>
        </w:rPr>
        <w:t>Mind and World: With a New Introduction</w:t>
      </w:r>
      <w:r>
        <w:t>. Cambridge, MA: Harvard University Press.</w:t>
      </w:r>
    </w:p>
    <w:p w14:paraId="2FD74907" w14:textId="77777777" w:rsidR="00FD5297" w:rsidRDefault="00AD2ADA">
      <w:pPr>
        <w:pStyle w:val="Bibliography"/>
      </w:pPr>
      <w:r>
        <w:t xml:space="preserve">McLear, Colin. 2011. “Kant on Animal Consciousness.” </w:t>
      </w:r>
      <w:r>
        <w:rPr>
          <w:i/>
        </w:rPr>
        <w:t>Philosophers’ Imprint</w:t>
      </w:r>
      <w:r>
        <w:t xml:space="preserve"> 11 (15): 1–16. </w:t>
      </w:r>
      <w:hyperlink r:id="rId20">
        <w:r>
          <w:rPr>
            <w:rStyle w:val="Hyperlink"/>
          </w:rPr>
          <w:t>http://quod.lib.umich.edu/cgi/p/pod/dod-idx/kant-on-animal-consciousness.pdf?c=phimp;idno=3521354.0011.015</w:t>
        </w:r>
      </w:hyperlink>
      <w:r>
        <w:t>.</w:t>
      </w:r>
    </w:p>
    <w:p w14:paraId="71194F48" w14:textId="77777777" w:rsidR="00FD5297" w:rsidRDefault="00AD2ADA">
      <w:pPr>
        <w:pStyle w:val="Bibliography"/>
      </w:pPr>
      <w:r>
        <w:t xml:space="preserve">———. 2014. “The Kantian (Non)-Conceptualism Debate.” </w:t>
      </w:r>
      <w:r>
        <w:rPr>
          <w:i/>
        </w:rPr>
        <w:t>Philosophy Compass</w:t>
      </w:r>
      <w:r>
        <w:t xml:space="preserve"> 9 (11): 769–90. </w:t>
      </w:r>
      <w:hyperlink r:id="rId21">
        <w:r>
          <w:rPr>
            <w:rStyle w:val="Hyperlink"/>
          </w:rPr>
          <w:t>doi:10.1111/phc3.12166</w:t>
        </w:r>
      </w:hyperlink>
      <w:r>
        <w:t>.</w:t>
      </w:r>
    </w:p>
    <w:p w14:paraId="730370C5" w14:textId="77777777" w:rsidR="00FD5297" w:rsidRDefault="00AD2ADA">
      <w:pPr>
        <w:pStyle w:val="Bibliography"/>
      </w:pPr>
      <w:r>
        <w:t xml:space="preserve">———. 2015a. “Kant on Perceptual Content.” </w:t>
      </w:r>
      <w:r>
        <w:rPr>
          <w:i/>
        </w:rPr>
        <w:t>Mind</w:t>
      </w:r>
      <w:r>
        <w:t xml:space="preserve">. </w:t>
      </w:r>
      <w:hyperlink r:id="rId22">
        <w:r>
          <w:rPr>
            <w:rStyle w:val="Hyperlink"/>
          </w:rPr>
          <w:t>http://philpapers.org/rec/MCLKOP</w:t>
        </w:r>
      </w:hyperlink>
      <w:r>
        <w:t>.</w:t>
      </w:r>
    </w:p>
    <w:p w14:paraId="660A19E5" w14:textId="77777777" w:rsidR="00FD5297" w:rsidRDefault="00AD2ADA">
      <w:pPr>
        <w:pStyle w:val="Bibliography"/>
      </w:pPr>
      <w:r>
        <w:t xml:space="preserve">———. 2015b. “Two Kinds of Unity in the Critique of Pure Reason.” </w:t>
      </w:r>
      <w:r>
        <w:rPr>
          <w:i/>
        </w:rPr>
        <w:t>Journal of the History of Philosophy</w:t>
      </w:r>
      <w:r>
        <w:t xml:space="preserve"> 53 (1): 79–110. </w:t>
      </w:r>
      <w:hyperlink r:id="rId23">
        <w:r>
          <w:rPr>
            <w:rStyle w:val="Hyperlink"/>
          </w:rPr>
          <w:t>doi:10.1353/hph.2015.0011</w:t>
        </w:r>
      </w:hyperlink>
      <w:r>
        <w:t>.</w:t>
      </w:r>
    </w:p>
    <w:p w14:paraId="2C90486D" w14:textId="77777777" w:rsidR="00FD5297" w:rsidRDefault="00AD2ADA">
      <w:pPr>
        <w:pStyle w:val="Bibliography"/>
      </w:pPr>
      <w:r>
        <w:t xml:space="preserve">———. 2016. “Getting Acquainted with Kant.” In </w:t>
      </w:r>
      <w:r>
        <w:rPr>
          <w:i/>
        </w:rPr>
        <w:t>Kantian Nonconceptualism</w:t>
      </w:r>
      <w:r>
        <w:t>, edited by Dennis Schulting. London: Palgrave Macmillan.</w:t>
      </w:r>
    </w:p>
    <w:p w14:paraId="36373618" w14:textId="77777777" w:rsidR="00FD5297" w:rsidRDefault="00AD2ADA">
      <w:pPr>
        <w:pStyle w:val="Bibliography"/>
      </w:pPr>
      <w:r>
        <w:t xml:space="preserve">Moore, A. W. 2000. </w:t>
      </w:r>
      <w:r>
        <w:rPr>
          <w:i/>
        </w:rPr>
        <w:t>Points of View</w:t>
      </w:r>
      <w:r>
        <w:t>. Oxford University Press.</w:t>
      </w:r>
    </w:p>
    <w:p w14:paraId="7F230EE8" w14:textId="77777777" w:rsidR="00FD5297" w:rsidRDefault="00AD2ADA">
      <w:pPr>
        <w:pStyle w:val="Bibliography"/>
      </w:pPr>
      <w:r>
        <w:t xml:space="preserve">Naragon, Steve. 1990. “Kant on Descartes and the Brutes.” </w:t>
      </w:r>
      <w:r>
        <w:rPr>
          <w:i/>
        </w:rPr>
        <w:t>Kant-Studien</w:t>
      </w:r>
      <w:r>
        <w:t xml:space="preserve"> 81 (1): 1–23. </w:t>
      </w:r>
      <w:hyperlink r:id="rId24">
        <w:r>
          <w:rPr>
            <w:rStyle w:val="Hyperlink"/>
          </w:rPr>
          <w:t>http://www.degruyter.com/view/j/kant.1990.81.issue-1/kant.1990.81.1.1/kant.1990.81.1.1.xml</w:t>
        </w:r>
      </w:hyperlink>
      <w:r>
        <w:t>.</w:t>
      </w:r>
    </w:p>
    <w:p w14:paraId="7EFFD276" w14:textId="77777777" w:rsidR="00FD5297" w:rsidRDefault="00AD2ADA">
      <w:pPr>
        <w:pStyle w:val="Bibliography"/>
      </w:pPr>
      <w:r>
        <w:t xml:space="preserve">Okrent, Mark. 2006. “Acquaintance and Cognition.” In </w:t>
      </w:r>
      <w:r>
        <w:rPr>
          <w:i/>
        </w:rPr>
        <w:t>Aesthetics and Cognition in Kant’s Critical Philosophy</w:t>
      </w:r>
      <w:r>
        <w:t>, edited by Rebecca Kukla, 85–108. Cambridge: Cambridge University Press.</w:t>
      </w:r>
    </w:p>
    <w:p w14:paraId="373A068F" w14:textId="77777777" w:rsidR="00FD5297" w:rsidRDefault="00AD2ADA">
      <w:pPr>
        <w:pStyle w:val="Bibliography"/>
      </w:pPr>
      <w:r>
        <w:t xml:space="preserve">Peacocke, Christopher. 1992. </w:t>
      </w:r>
      <w:r>
        <w:rPr>
          <w:i/>
        </w:rPr>
        <w:t>A Study of Concepts</w:t>
      </w:r>
      <w:r>
        <w:t>. Cambridge, MA: MIT Press.</w:t>
      </w:r>
    </w:p>
    <w:p w14:paraId="481A6202" w14:textId="77777777" w:rsidR="00FD5297" w:rsidRDefault="00AD2ADA">
      <w:pPr>
        <w:pStyle w:val="Bibliography"/>
      </w:pPr>
      <w:r>
        <w:t xml:space="preserve">———. 2008. “Sensational Properties: Theses to Accept and Theses to Reject.” </w:t>
      </w:r>
      <w:r>
        <w:rPr>
          <w:i/>
        </w:rPr>
        <w:t>Revue Internationale de Philosophie</w:t>
      </w:r>
      <w:r>
        <w:t>, no. 1. Assoc. RIP: 7–24.</w:t>
      </w:r>
    </w:p>
    <w:p w14:paraId="372EBA33" w14:textId="77777777" w:rsidR="00FD5297" w:rsidRDefault="00AD2ADA">
      <w:pPr>
        <w:pStyle w:val="Bibliography"/>
      </w:pPr>
      <w:r>
        <w:t xml:space="preserve">———. 2009. “Objectivity.” </w:t>
      </w:r>
      <w:r>
        <w:rPr>
          <w:i/>
        </w:rPr>
        <w:t>Mind</w:t>
      </w:r>
      <w:r>
        <w:t xml:space="preserve"> 118 (471): 739–69. </w:t>
      </w:r>
      <w:hyperlink r:id="rId25">
        <w:r>
          <w:rPr>
            <w:rStyle w:val="Hyperlink"/>
          </w:rPr>
          <w:t>doi:10.1093/mind/fzp097</w:t>
        </w:r>
      </w:hyperlink>
      <w:r>
        <w:t>.</w:t>
      </w:r>
    </w:p>
    <w:p w14:paraId="16A9F758" w14:textId="77777777" w:rsidR="00FD5297" w:rsidRDefault="00AD2ADA">
      <w:pPr>
        <w:pStyle w:val="Bibliography"/>
      </w:pPr>
      <w:r>
        <w:t xml:space="preserve">Pereboom, Derk. 1995. “Self-Understanding in Kant’s Transcendental Deduction.” </w:t>
      </w:r>
      <w:r>
        <w:rPr>
          <w:i/>
        </w:rPr>
        <w:t>Synthese</w:t>
      </w:r>
      <w:r>
        <w:t xml:space="preserve"> 103 (1): 1–42. </w:t>
      </w:r>
      <w:hyperlink r:id="rId26">
        <w:r>
          <w:rPr>
            <w:rStyle w:val="Hyperlink"/>
          </w:rPr>
          <w:t>http://link.springer.com/article/10.1007/BF01063717</w:t>
        </w:r>
      </w:hyperlink>
      <w:r>
        <w:t>.</w:t>
      </w:r>
    </w:p>
    <w:p w14:paraId="1182A305" w14:textId="77777777" w:rsidR="00FD5297" w:rsidRDefault="00AD2ADA">
      <w:pPr>
        <w:pStyle w:val="Bibliography"/>
      </w:pPr>
      <w:r>
        <w:t xml:space="preserve">———. 2006. “Kant’s Metaphysical and Transcendental Deductions.” In </w:t>
      </w:r>
      <w:r>
        <w:rPr>
          <w:i/>
        </w:rPr>
        <w:t>A Companion to Kant</w:t>
      </w:r>
      <w:r>
        <w:t>, edited by Graham Bird, 154–68. Oxford: Blackwell Publishing.</w:t>
      </w:r>
    </w:p>
    <w:p w14:paraId="5BB4A532" w14:textId="77777777" w:rsidR="00FD5297" w:rsidRDefault="00AD2ADA">
      <w:pPr>
        <w:pStyle w:val="Bibliography"/>
      </w:pPr>
      <w:r>
        <w:t xml:space="preserve">———. 2009. “Kant’s Transcendental Arguments.” </w:t>
      </w:r>
      <w:r>
        <w:rPr>
          <w:i/>
        </w:rPr>
        <w:t>Stanford Encyclopedia of Philosophy</w:t>
      </w:r>
      <w:r>
        <w:t xml:space="preserve">. </w:t>
      </w:r>
      <w:hyperlink r:id="rId27">
        <w:r>
          <w:rPr>
            <w:rStyle w:val="Hyperlink"/>
          </w:rPr>
          <w:t>http://stanford.library.usyd.edu.au/entries/kant-transcendental/</w:t>
        </w:r>
      </w:hyperlink>
      <w:r>
        <w:t>.</w:t>
      </w:r>
    </w:p>
    <w:p w14:paraId="3C3259B6" w14:textId="77777777" w:rsidR="00FD5297" w:rsidRDefault="00AD2ADA">
      <w:pPr>
        <w:pStyle w:val="Bibliography"/>
      </w:pPr>
      <w:r>
        <w:lastRenderedPageBreak/>
        <w:t xml:space="preserve">Roessler, Johannes. 2009. “Perceptual Experience and Perceptual Knowledge.” </w:t>
      </w:r>
      <w:r>
        <w:rPr>
          <w:i/>
        </w:rPr>
        <w:t>Mind</w:t>
      </w:r>
      <w:r>
        <w:t xml:space="preserve"> 118 (472): 1013–41. </w:t>
      </w:r>
      <w:hyperlink r:id="rId28">
        <w:r>
          <w:rPr>
            <w:rStyle w:val="Hyperlink"/>
          </w:rPr>
          <w:t>doi:10.1093/mind/fzp131</w:t>
        </w:r>
      </w:hyperlink>
      <w:r>
        <w:t>.</w:t>
      </w:r>
    </w:p>
    <w:p w14:paraId="72A88031" w14:textId="77777777" w:rsidR="00FD5297" w:rsidRDefault="00AD2ADA">
      <w:pPr>
        <w:pStyle w:val="Bibliography"/>
      </w:pPr>
      <w:r>
        <w:t xml:space="preserve">———. 2011. “Causation in Commonsense Realism.” In </w:t>
      </w:r>
      <w:r>
        <w:rPr>
          <w:i/>
        </w:rPr>
        <w:t>Perception, Causation, and Objectivity</w:t>
      </w:r>
      <w:r>
        <w:t xml:space="preserve">, edited by Johannes Roessler, Hemdat Lerman, and Naomi Eilan, 103–20. Oxford: Oxford University Press. </w:t>
      </w:r>
      <w:hyperlink r:id="rId29">
        <w:r>
          <w:rPr>
            <w:rStyle w:val="Hyperlink"/>
          </w:rPr>
          <w:t>doi:10.1093/acprof:oso/9780199692040.003.0008</w:t>
        </w:r>
      </w:hyperlink>
      <w:r>
        <w:t>.</w:t>
      </w:r>
    </w:p>
    <w:p w14:paraId="454AD947" w14:textId="77777777" w:rsidR="00FD5297" w:rsidRDefault="00AD2ADA">
      <w:pPr>
        <w:pStyle w:val="Bibliography"/>
      </w:pPr>
      <w:r>
        <w:t xml:space="preserve">Rosefeldt, Tobias. 2003. “Kant’s Self: Real Entity and Logical Identity.” In </w:t>
      </w:r>
      <w:r>
        <w:rPr>
          <w:i/>
        </w:rPr>
        <w:t>Strawson and Kant</w:t>
      </w:r>
      <w:r>
        <w:t>, edited by Hans-Johann Glock, 141–54. Oxford University Press.</w:t>
      </w:r>
    </w:p>
    <w:p w14:paraId="637E4DD6" w14:textId="77777777" w:rsidR="00FD5297" w:rsidRDefault="00AD2ADA">
      <w:pPr>
        <w:pStyle w:val="Bibliography"/>
      </w:pPr>
      <w:r>
        <w:t xml:space="preserve">Rosen, Gideon. 1994. “Objectivity and Modern Idealism: What Is the Question?” In </w:t>
      </w:r>
      <w:r>
        <w:rPr>
          <w:i/>
        </w:rPr>
        <w:t>Philosophy in Mind: The Place of Philosophy in the Study of Mind</w:t>
      </w:r>
      <w:r>
        <w:t xml:space="preserve">, edited by Michael Michaelis and John O’Leary-Hawthorne, 277–319. Dordrecht: Springer Netherlands. </w:t>
      </w:r>
      <w:hyperlink r:id="rId30">
        <w:r>
          <w:rPr>
            <w:rStyle w:val="Hyperlink"/>
          </w:rPr>
          <w:t>doi:10.1007/978-94-011-1008-2_17</w:t>
        </w:r>
      </w:hyperlink>
      <w:r>
        <w:t>.</w:t>
      </w:r>
    </w:p>
    <w:p w14:paraId="7F7CEACC" w14:textId="77777777" w:rsidR="00FD5297" w:rsidRDefault="00AD2ADA">
      <w:pPr>
        <w:pStyle w:val="Bibliography"/>
      </w:pPr>
      <w:r>
        <w:t xml:space="preserve">Schafer, Karl. 2015. “Kant’s Conception of Cognition and Our Knowledge of Things-in-Themselves.” In </w:t>
      </w:r>
      <w:r>
        <w:rPr>
          <w:i/>
        </w:rPr>
        <w:t>The Sensible and Intelligible Worlds: New Essays on Kant’s Metaphysics and Epistemology</w:t>
      </w:r>
      <w:r>
        <w:t>, edited by Karl Schafer and Nicholas Stang. Oxford University Press.</w:t>
      </w:r>
    </w:p>
    <w:p w14:paraId="76488F10" w14:textId="77777777" w:rsidR="00FD5297" w:rsidRDefault="00AD2ADA">
      <w:pPr>
        <w:pStyle w:val="Bibliography"/>
      </w:pPr>
      <w:r>
        <w:t xml:space="preserve">Spelke, Elizabeth S. 1990. “Principles of Object Perception.” </w:t>
      </w:r>
      <w:r>
        <w:rPr>
          <w:i/>
        </w:rPr>
        <w:t>Cognitive Science</w:t>
      </w:r>
      <w:r>
        <w:t xml:space="preserve"> 14 (1). Wiley Online Library: 29–56.</w:t>
      </w:r>
    </w:p>
    <w:p w14:paraId="58A55BDC" w14:textId="77777777" w:rsidR="00FD5297" w:rsidRDefault="00AD2ADA">
      <w:pPr>
        <w:pStyle w:val="Bibliography"/>
      </w:pPr>
      <w:r>
        <w:t xml:space="preserve">Spelke, Elizabeth S., Peter Vishton, and Claes Von Hofsten. 1995. “Object Perception, Object-Directed Action, and Physical Knowledge in Infancy.” In </w:t>
      </w:r>
      <w:r>
        <w:rPr>
          <w:i/>
        </w:rPr>
        <w:t>The Cognitive Neurosciences</w:t>
      </w:r>
      <w:r>
        <w:t>, edited by Michael Gazzaniga, 165–79. Cambridge, MA: MIT Press.</w:t>
      </w:r>
    </w:p>
    <w:p w14:paraId="5AC1FB49" w14:textId="77777777" w:rsidR="00FD5297" w:rsidRDefault="00AD2ADA">
      <w:pPr>
        <w:pStyle w:val="Bibliography"/>
      </w:pPr>
      <w:r>
        <w:t xml:space="preserve">Strawson, Peter Frederick. 1966. </w:t>
      </w:r>
      <w:r>
        <w:rPr>
          <w:i/>
        </w:rPr>
        <w:t>The Bounds of Sense</w:t>
      </w:r>
      <w:r>
        <w:t>. London: Routledge.</w:t>
      </w:r>
    </w:p>
    <w:p w14:paraId="5ED1FCBB" w14:textId="77777777" w:rsidR="00FD5297" w:rsidRDefault="00AD2ADA">
      <w:pPr>
        <w:pStyle w:val="Bibliography"/>
      </w:pPr>
      <w:r>
        <w:t xml:space="preserve">———. 2002. </w:t>
      </w:r>
      <w:r>
        <w:rPr>
          <w:i/>
        </w:rPr>
        <w:t>Individuals: An Essay in Descriptive Metaphysics</w:t>
      </w:r>
      <w:r>
        <w:t>. London: Routledge.</w:t>
      </w:r>
    </w:p>
    <w:p w14:paraId="38D96A46" w14:textId="77777777" w:rsidR="00FD5297" w:rsidRDefault="00AD2ADA">
      <w:pPr>
        <w:pStyle w:val="Bibliography"/>
      </w:pPr>
      <w:r>
        <w:t xml:space="preserve">Van Cleve, James. 1999. </w:t>
      </w:r>
      <w:r>
        <w:rPr>
          <w:i/>
        </w:rPr>
        <w:t>Problems from Kant</w:t>
      </w:r>
      <w:r>
        <w:t>. Oxford: Oxford University Press.</w:t>
      </w:r>
    </w:p>
    <w:p w14:paraId="07CEDF31" w14:textId="77777777" w:rsidR="00FD5297" w:rsidRDefault="00AD2ADA">
      <w:pPr>
        <w:pStyle w:val="Bibliography"/>
      </w:pPr>
      <w:r>
        <w:t xml:space="preserve">Williams, Bernard. 1978. </w:t>
      </w:r>
      <w:r>
        <w:rPr>
          <w:i/>
        </w:rPr>
        <w:t>Descartes: The Project of Pure Enquiry</w:t>
      </w:r>
      <w:r>
        <w:t>. 2005th ed. London: Routledge.</w:t>
      </w:r>
    </w:p>
    <w:p w14:paraId="26551386" w14:textId="77777777" w:rsidR="00FD5297" w:rsidRDefault="00AD2ADA">
      <w:pPr>
        <w:pStyle w:val="Bibliography"/>
      </w:pPr>
      <w:r>
        <w:t xml:space="preserve">———. 1991. “Terrestrial Thoughts, Extraterrestrial Science.” </w:t>
      </w:r>
      <w:r>
        <w:rPr>
          <w:i/>
        </w:rPr>
        <w:t>London Review of Books (Feb 7, 1991)</w:t>
      </w:r>
      <w:r>
        <w:t>, February, 12–13.</w:t>
      </w:r>
    </w:p>
    <w:p w14:paraId="28DAC26A" w14:textId="77777777" w:rsidR="00FD5297" w:rsidRDefault="00AD2ADA">
      <w:pPr>
        <w:pStyle w:val="Bibliography"/>
      </w:pPr>
      <w:r>
        <w:t xml:space="preserve">———. 2006. </w:t>
      </w:r>
      <w:r>
        <w:rPr>
          <w:i/>
        </w:rPr>
        <w:t>Ethics and the Limits of Philosophy</w:t>
      </w:r>
      <w:r>
        <w:t>. London: Routledge.</w:t>
      </w:r>
    </w:p>
    <w:p w14:paraId="6B6121F7" w14:textId="77777777" w:rsidR="00FD5297" w:rsidRDefault="00AD2ADA">
      <w:pPr>
        <w:pStyle w:val="Bibliography"/>
      </w:pPr>
      <w:r>
        <w:t xml:space="preserve">Wunderlich, Falk. 2005. </w:t>
      </w:r>
      <w:r>
        <w:rPr>
          <w:i/>
        </w:rPr>
        <w:t>Kant Und Die Bewußtseinstheorien Des 18. Jahrhunderts</w:t>
      </w:r>
      <w:r>
        <w:t>. Berlin: Walter de Gruyter.</w:t>
      </w:r>
    </w:p>
    <w:sectPr w:rsidR="00FD5297">
      <w:footerReference w:type="even" r:id="rId31"/>
      <w:footerReference w:type="default" r:id="rId3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42B41" w14:textId="77777777" w:rsidR="0003588D" w:rsidRDefault="00AD2ADA">
      <w:pPr>
        <w:spacing w:after="0"/>
      </w:pPr>
      <w:r>
        <w:separator/>
      </w:r>
    </w:p>
  </w:endnote>
  <w:endnote w:type="continuationSeparator" w:id="0">
    <w:p w14:paraId="6653E46F" w14:textId="77777777" w:rsidR="0003588D" w:rsidRDefault="00AD2A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dobe Caslon Pro">
    <w:panose1 w:val="0205050205050A0204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Lucida Grande">
    <w:panose1 w:val="020B060004050202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Cambria Math">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651B3E" w14:textId="77777777" w:rsidR="00C672AB" w:rsidRDefault="00C672AB" w:rsidP="004303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98AE56" w14:textId="77777777" w:rsidR="00C672AB" w:rsidRDefault="00C672AB" w:rsidP="00C672A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254FC5" w14:textId="77777777" w:rsidR="00C672AB" w:rsidRDefault="00C672AB" w:rsidP="004303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A69EC2" w14:textId="77777777" w:rsidR="00C672AB" w:rsidRDefault="00C672AB" w:rsidP="00C672AB">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60E92F" w14:textId="77777777" w:rsidR="00FD5297" w:rsidRDefault="00AD2ADA">
      <w:r>
        <w:separator/>
      </w:r>
    </w:p>
  </w:footnote>
  <w:footnote w:type="continuationSeparator" w:id="0">
    <w:p w14:paraId="57D45BED" w14:textId="77777777" w:rsidR="00FD5297" w:rsidRDefault="00AD2ADA">
      <w:r>
        <w:continuationSeparator/>
      </w:r>
    </w:p>
  </w:footnote>
  <w:footnote w:id="1">
    <w:p w14:paraId="1C1C4A45" w14:textId="77777777" w:rsidR="00FD5297" w:rsidRDefault="00AD2ADA">
      <w:pPr>
        <w:pStyle w:val="FootnoteText"/>
      </w:pPr>
      <w:r>
        <w:rPr>
          <w:rStyle w:val="FootnoteReference"/>
        </w:rPr>
        <w:footnoteRef/>
      </w:r>
      <w:r>
        <w:t xml:space="preserve">Descartes and his followers are perhaps the most famous figures </w:t>
      </w:r>
      <w:proofErr w:type="gramStart"/>
      <w:r>
        <w:t>here,</w:t>
      </w:r>
      <w:proofErr w:type="gramEnd"/>
      <w:r>
        <w:t xml:space="preserve"> though it is not entirely uncontroversial the extent to which Cartesianism was really committed to the view of animals as mere machines. See Cottingham (</w:t>
      </w:r>
      <w:hyperlink w:anchor="ref-cottingham1978brute">
        <w:r>
          <w:rPr>
            <w:rStyle w:val="Hyperlink"/>
          </w:rPr>
          <w:t>1978</w:t>
        </w:r>
      </w:hyperlink>
      <w:r>
        <w:t>); Naragon (</w:t>
      </w:r>
      <w:hyperlink w:anchor="ref-naragon1990">
        <w:r>
          <w:rPr>
            <w:rStyle w:val="Hyperlink"/>
          </w:rPr>
          <w:t>1990</w:t>
        </w:r>
      </w:hyperlink>
      <w:r>
        <w:t>) for discussion.</w:t>
      </w:r>
    </w:p>
  </w:footnote>
  <w:footnote w:id="2">
    <w:p w14:paraId="236D46C3" w14:textId="77777777" w:rsidR="00FD5297" w:rsidRDefault="00AD2ADA">
      <w:pPr>
        <w:pStyle w:val="FootnoteText"/>
      </w:pPr>
      <w:r>
        <w:rPr>
          <w:rStyle w:val="FootnoteReference"/>
        </w:rPr>
        <w:footnoteRef/>
      </w:r>
      <w:r>
        <w:t xml:space="preserve">There is debate, which I won't discuss here, as to whether Kant intends the unity of consciousness in which an intuition (or its manifold) is conceptually united as necessary or also as a </w:t>
      </w:r>
      <w:r>
        <w:rPr>
          <w:i/>
        </w:rPr>
        <w:t>sufficient</w:t>
      </w:r>
      <w:r>
        <w:t xml:space="preserve"> condition for objective representation. See, for example, Allison (</w:t>
      </w:r>
      <w:hyperlink w:anchor="ref-allison2004">
        <w:r>
          <w:rPr>
            <w:rStyle w:val="Hyperlink"/>
          </w:rPr>
          <w:t>2004</w:t>
        </w:r>
      </w:hyperlink>
      <w:r>
        <w:t>), 174-6. For criticism see Pereboom (</w:t>
      </w:r>
      <w:hyperlink w:anchor="ref-pereboom1995">
        <w:r>
          <w:rPr>
            <w:rStyle w:val="Hyperlink"/>
          </w:rPr>
          <w:t>1995</w:t>
        </w:r>
      </w:hyperlink>
      <w:r>
        <w:t>), 20-5; cf. Pereboom (</w:t>
      </w:r>
      <w:hyperlink w:anchor="ref-pereboom2006">
        <w:r>
          <w:rPr>
            <w:rStyle w:val="Hyperlink"/>
          </w:rPr>
          <w:t>2006</w:t>
        </w:r>
      </w:hyperlink>
      <w:r>
        <w:t>), 160. Guyer argues that even the claim of necessity here is problematic; See Guyer (</w:t>
      </w:r>
      <w:hyperlink w:anchor="ref-guyer1987">
        <w:r>
          <w:rPr>
            <w:rStyle w:val="Hyperlink"/>
          </w:rPr>
          <w:t>1987</w:t>
        </w:r>
      </w:hyperlink>
      <w:r>
        <w:t>), 117-18.</w:t>
      </w:r>
    </w:p>
  </w:footnote>
  <w:footnote w:id="3">
    <w:p w14:paraId="32405958" w14:textId="77777777" w:rsidR="00FD5297" w:rsidRDefault="00AD2ADA">
      <w:pPr>
        <w:pStyle w:val="FootnoteText"/>
      </w:pPr>
      <w:r>
        <w:rPr>
          <w:rStyle w:val="FootnoteReference"/>
        </w:rPr>
        <w:footnoteRef/>
      </w:r>
      <w:r>
        <w:t>Unfortunately, I lack the space here to discuss issues pertaining directly to the third premise and Kant's conception of the unity of consciousness. For a start on these issues see McLear (</w:t>
      </w:r>
      <w:hyperlink w:anchor="ref-mclear2015">
        <w:r>
          <w:rPr>
            <w:rStyle w:val="Hyperlink"/>
          </w:rPr>
          <w:t>2015</w:t>
        </w:r>
      </w:hyperlink>
      <w:hyperlink w:anchor="ref-mclear2015">
        <w:r>
          <w:rPr>
            <w:rStyle w:val="Hyperlink"/>
          </w:rPr>
          <w:t>b</w:t>
        </w:r>
      </w:hyperlink>
      <w:r>
        <w:t>), §3. I hope to address these issues further in future work.</w:t>
      </w:r>
    </w:p>
  </w:footnote>
  <w:footnote w:id="4">
    <w:p w14:paraId="69B048C7" w14:textId="77777777" w:rsidR="00FD5297" w:rsidRDefault="00AD2ADA">
      <w:pPr>
        <w:pStyle w:val="FootnoteText"/>
      </w:pPr>
      <w:r>
        <w:rPr>
          <w:rStyle w:val="FootnoteReference"/>
        </w:rPr>
        <w:footnoteRef/>
      </w:r>
      <w:r>
        <w:t>For argument that Kant is concerned with cognition in judgment rather than intuition of a particular see Hanna (</w:t>
      </w:r>
      <w:hyperlink w:anchor="ref-hanna2005">
        <w:r>
          <w:rPr>
            <w:rStyle w:val="Hyperlink"/>
          </w:rPr>
          <w:t>2005</w:t>
        </w:r>
      </w:hyperlink>
      <w:r>
        <w:t>); cf. Allais (</w:t>
      </w:r>
      <w:hyperlink w:anchor="ref-allais2009">
        <w:r>
          <w:rPr>
            <w:rStyle w:val="Hyperlink"/>
          </w:rPr>
          <w:t>2009</w:t>
        </w:r>
      </w:hyperlink>
      <w:r>
        <w:t>), 392-3; Allais (</w:t>
      </w:r>
      <w:hyperlink w:anchor="ref-allais2011b">
        <w:r>
          <w:rPr>
            <w:rStyle w:val="Hyperlink"/>
          </w:rPr>
          <w:t>2011</w:t>
        </w:r>
      </w:hyperlink>
      <w:r>
        <w:t>), 104.</w:t>
      </w:r>
    </w:p>
  </w:footnote>
  <w:footnote w:id="5">
    <w:p w14:paraId="2AE4E2E5" w14:textId="77777777" w:rsidR="00FD5297" w:rsidRDefault="00AD2ADA">
      <w:pPr>
        <w:pStyle w:val="FootnoteText"/>
      </w:pPr>
      <w:r>
        <w:rPr>
          <w:rStyle w:val="FootnoteReference"/>
        </w:rPr>
        <w:footnoteRef/>
      </w:r>
      <w:r>
        <w:t>See Wunderlich (</w:t>
      </w:r>
      <w:hyperlink w:anchor="ref-wunderlich2005">
        <w:r>
          <w:rPr>
            <w:rStyle w:val="Hyperlink"/>
          </w:rPr>
          <w:t>2005</w:t>
        </w:r>
      </w:hyperlink>
      <w:r>
        <w:t>); Kitcher (</w:t>
      </w:r>
      <w:hyperlink w:anchor="ref-kitcher2010">
        <w:r>
          <w:rPr>
            <w:rStyle w:val="Hyperlink"/>
          </w:rPr>
          <w:t>2010</w:t>
        </w:r>
      </w:hyperlink>
      <w:r>
        <w:t>), 18-19; Dyck (</w:t>
      </w:r>
      <w:hyperlink w:anchor="ref-dyck2011">
        <w:r>
          <w:rPr>
            <w:rStyle w:val="Hyperlink"/>
          </w:rPr>
          <w:t>2011</w:t>
        </w:r>
      </w:hyperlink>
      <w:r>
        <w:t>), 47; McLear (</w:t>
      </w:r>
      <w:hyperlink w:anchor="ref-mclear2014">
        <w:r>
          <w:rPr>
            <w:rStyle w:val="Hyperlink"/>
          </w:rPr>
          <w:t>2014</w:t>
        </w:r>
      </w:hyperlink>
      <w:r>
        <w:t>), 771-2.</w:t>
      </w:r>
    </w:p>
  </w:footnote>
  <w:footnote w:id="6">
    <w:p w14:paraId="29E1348C" w14:textId="77777777" w:rsidR="00FD5297" w:rsidRDefault="00AD2ADA">
      <w:pPr>
        <w:pStyle w:val="FootnoteText"/>
      </w:pPr>
      <w:r>
        <w:rPr>
          <w:rStyle w:val="FootnoteReference"/>
        </w:rPr>
        <w:footnoteRef/>
      </w:r>
      <w:r>
        <w:t>Okrent (</w:t>
      </w:r>
      <w:hyperlink w:anchor="ref-okrent2006">
        <w:r>
          <w:rPr>
            <w:rStyle w:val="Hyperlink"/>
          </w:rPr>
          <w:t>2006</w:t>
        </w:r>
      </w:hyperlink>
      <w:r>
        <w:t xml:space="preserve">), 104 notes that animals can "note that two objects differ, but they can never note or notice how they differ, or the way in which those objects differ." This way of putting things is, I think, misleading. Animals cannot note </w:t>
      </w:r>
      <w:r>
        <w:rPr>
          <w:i/>
        </w:rPr>
        <w:t>that</w:t>
      </w:r>
      <w:r>
        <w:t xml:space="preserve"> one thing differs from another, because they cannot, according to Kant, enjoy propositional attitudes. So the extent to which an animal responds to identity and difference is not due to its having attitudes to propositions. On this point see Dummett (</w:t>
      </w:r>
      <w:hyperlink w:anchor="ref-dummett1993">
        <w:r>
          <w:rPr>
            <w:rStyle w:val="Hyperlink"/>
          </w:rPr>
          <w:t>1993</w:t>
        </w:r>
      </w:hyperlink>
      <w:r>
        <w:t>), ch. 12 and related discussion in Bermúdez (</w:t>
      </w:r>
      <w:hyperlink w:anchor="ref-bermudez2003">
        <w:r>
          <w:rPr>
            <w:rStyle w:val="Hyperlink"/>
          </w:rPr>
          <w:t>2003</w:t>
        </w:r>
      </w:hyperlink>
      <w:r>
        <w:t>), ch. 3. Another difficulty with Okrent's discussion is that it encourages, without addressing, just the kind of notion of a brute discriminatory capacity that I discuss above.</w:t>
      </w:r>
    </w:p>
  </w:footnote>
  <w:footnote w:id="7">
    <w:p w14:paraId="3FA9B208" w14:textId="77777777" w:rsidR="00FD5297" w:rsidRDefault="00AD2ADA">
      <w:pPr>
        <w:pStyle w:val="FootnoteText"/>
      </w:pPr>
      <w:r>
        <w:rPr>
          <w:rStyle w:val="FootnoteReference"/>
        </w:rPr>
        <w:footnoteRef/>
      </w:r>
      <w:r>
        <w:t>One way of putting this is that a chicken sexer has no "access consciousness", in the sense articulated by Ned Block, to those features by means of which they make their discriminations. See Block (</w:t>
      </w:r>
      <w:hyperlink w:anchor="ref-block1995">
        <w:r>
          <w:rPr>
            <w:rStyle w:val="Hyperlink"/>
          </w:rPr>
          <w:t>1995</w:t>
        </w:r>
      </w:hyperlink>
      <w:r>
        <w:t>), Block (</w:t>
      </w:r>
      <w:hyperlink w:anchor="ref-block2008">
        <w:r>
          <w:rPr>
            <w:rStyle w:val="Hyperlink"/>
          </w:rPr>
          <w:t>2008</w:t>
        </w:r>
      </w:hyperlink>
      <w:r>
        <w:t>).</w:t>
      </w:r>
    </w:p>
  </w:footnote>
  <w:footnote w:id="8">
    <w:p w14:paraId="6C1FA835" w14:textId="77777777" w:rsidR="00FD5297" w:rsidRDefault="00AD2ADA">
      <w:pPr>
        <w:pStyle w:val="FootnoteText"/>
      </w:pPr>
      <w:r>
        <w:rPr>
          <w:rStyle w:val="FootnoteReference"/>
        </w:rPr>
        <w:footnoteRef/>
      </w:r>
      <w:r>
        <w:t xml:space="preserve">One might be tempted here to say that sexer's state's are less "sophisticated" but this seems to me misleading. The cognitive machinery that goes into making such states possible may well be quite complex. The significant point, for my purposes, is that the states or mental events this machinery makes possible are importantly </w:t>
      </w:r>
      <w:r>
        <w:rPr>
          <w:i/>
        </w:rPr>
        <w:t>different</w:t>
      </w:r>
      <w:r>
        <w:t xml:space="preserve"> from those of other cognitive states, of which propositional attitudes are a prime example.</w:t>
      </w:r>
    </w:p>
  </w:footnote>
  <w:footnote w:id="9">
    <w:p w14:paraId="1584E827" w14:textId="77777777" w:rsidR="00FD5297" w:rsidRDefault="00AD2ADA">
      <w:pPr>
        <w:pStyle w:val="FootnoteText"/>
      </w:pPr>
      <w:r>
        <w:rPr>
          <w:rStyle w:val="FootnoteReference"/>
        </w:rPr>
        <w:footnoteRef/>
      </w:r>
      <w:r>
        <w:t>Though the fact that sexer is reliable in their judgments, and the fact that they have rendered a particular verdict on a particular occasion, might themselves be the basis of further inferences. See Roessler (</w:t>
      </w:r>
      <w:hyperlink w:anchor="ref-roessler2009">
        <w:r>
          <w:rPr>
            <w:rStyle w:val="Hyperlink"/>
          </w:rPr>
          <w:t>2009</w:t>
        </w:r>
      </w:hyperlink>
      <w:r>
        <w:t>); Roessler (</w:t>
      </w:r>
      <w:hyperlink w:anchor="ref-roessler2011a">
        <w:r>
          <w:rPr>
            <w:rStyle w:val="Hyperlink"/>
          </w:rPr>
          <w:t>2011</w:t>
        </w:r>
      </w:hyperlink>
      <w:r>
        <w:t>), 113-14.</w:t>
      </w:r>
    </w:p>
  </w:footnote>
  <w:footnote w:id="10">
    <w:p w14:paraId="26CACD0D" w14:textId="77777777" w:rsidR="00FD5297" w:rsidRDefault="00AD2ADA">
      <w:pPr>
        <w:pStyle w:val="FootnoteText"/>
      </w:pPr>
      <w:r>
        <w:rPr>
          <w:rStyle w:val="FootnoteReference"/>
        </w:rPr>
        <w:footnoteRef/>
      </w:r>
    </w:p>
  </w:footnote>
  <w:footnote w:id="11">
    <w:p w14:paraId="4D293DFE" w14:textId="77777777" w:rsidR="00FD5297" w:rsidRDefault="00AD2ADA">
      <w:pPr>
        <w:pStyle w:val="FootnoteText"/>
      </w:pPr>
      <w:r>
        <w:rPr>
          <w:rStyle w:val="FootnoteReference"/>
        </w:rPr>
        <w:footnoteRef/>
      </w:r>
      <w:r>
        <w:t>For a similar contrast see Bermúdez (</w:t>
      </w:r>
      <w:hyperlink w:anchor="ref-bermudez2003">
        <w:r>
          <w:rPr>
            <w:rStyle w:val="Hyperlink"/>
          </w:rPr>
          <w:t>2003</w:t>
        </w:r>
      </w:hyperlink>
      <w:r>
        <w:t>), 39.</w:t>
      </w:r>
    </w:p>
  </w:footnote>
  <w:footnote w:id="12">
    <w:p w14:paraId="423C240C" w14:textId="77777777" w:rsidR="00FD5297" w:rsidRDefault="00AD2ADA">
      <w:pPr>
        <w:pStyle w:val="FootnoteText"/>
      </w:pPr>
      <w:r>
        <w:rPr>
          <w:rStyle w:val="FootnoteReference"/>
        </w:rPr>
        <w:footnoteRef/>
      </w:r>
      <w:r>
        <w:t>Campbell (</w:t>
      </w:r>
      <w:hyperlink w:anchor="ref-campbell2006">
        <w:r>
          <w:rPr>
            <w:rStyle w:val="Hyperlink"/>
          </w:rPr>
          <w:t>2006</w:t>
        </w:r>
      </w:hyperlink>
      <w:r>
        <w:t>), 32; cf. Campbell (</w:t>
      </w:r>
      <w:hyperlink w:anchor="ref-campbell2002">
        <w:r>
          <w:rPr>
            <w:rStyle w:val="Hyperlink"/>
          </w:rPr>
          <w:t>2002</w:t>
        </w:r>
      </w:hyperlink>
      <w:r>
        <w:t>), 30-1; Roessler (</w:t>
      </w:r>
      <w:hyperlink w:anchor="ref-roessler2009">
        <w:r>
          <w:rPr>
            <w:rStyle w:val="Hyperlink"/>
          </w:rPr>
          <w:t>2009</w:t>
        </w:r>
      </w:hyperlink>
      <w:r>
        <w:t>), 1028.</w:t>
      </w:r>
    </w:p>
  </w:footnote>
  <w:footnote w:id="13">
    <w:p w14:paraId="183FB3FB" w14:textId="77777777" w:rsidR="00FD5297" w:rsidRDefault="00AD2ADA">
      <w:pPr>
        <w:pStyle w:val="FootnoteText"/>
      </w:pPr>
      <w:r>
        <w:rPr>
          <w:rStyle w:val="FootnoteReference"/>
        </w:rPr>
        <w:footnoteRef/>
      </w:r>
      <w:r>
        <w:t>See Grüne (</w:t>
      </w:r>
      <w:hyperlink w:anchor="ref-grune2014a">
        <w:r>
          <w:rPr>
            <w:rStyle w:val="Hyperlink"/>
          </w:rPr>
          <w:t>2014</w:t>
        </w:r>
      </w:hyperlink>
      <w:r>
        <w:t>), §2.</w:t>
      </w:r>
    </w:p>
  </w:footnote>
  <w:footnote w:id="14">
    <w:p w14:paraId="5EE872EF" w14:textId="77777777" w:rsidR="00FD5297" w:rsidRDefault="00AD2ADA">
      <w:pPr>
        <w:pStyle w:val="FootnoteText"/>
      </w:pPr>
      <w:r>
        <w:rPr>
          <w:rStyle w:val="FootnoteReference"/>
        </w:rPr>
        <w:footnoteRef/>
      </w:r>
      <w:r>
        <w:t>Ibid.</w:t>
      </w:r>
    </w:p>
  </w:footnote>
  <w:footnote w:id="15">
    <w:p w14:paraId="168E10FF" w14:textId="77777777" w:rsidR="00FD5297" w:rsidRDefault="00AD2ADA">
      <w:pPr>
        <w:pStyle w:val="FootnoteText"/>
      </w:pPr>
      <w:r>
        <w:rPr>
          <w:rStyle w:val="FootnoteReference"/>
        </w:rPr>
        <w:footnoteRef/>
      </w:r>
      <w:r>
        <w:t>For further discussion see McLear (</w:t>
      </w:r>
      <w:hyperlink w:anchor="ref-mclear2011">
        <w:r>
          <w:rPr>
            <w:rStyle w:val="Hyperlink"/>
          </w:rPr>
          <w:t>2011</w:t>
        </w:r>
      </w:hyperlink>
      <w:r>
        <w:t>), §§3-4.</w:t>
      </w:r>
    </w:p>
  </w:footnote>
  <w:footnote w:id="16">
    <w:p w14:paraId="632EB5C4" w14:textId="77777777" w:rsidR="00FD5297" w:rsidRDefault="00AD2ADA">
      <w:pPr>
        <w:pStyle w:val="FootnoteText"/>
      </w:pPr>
      <w:r>
        <w:rPr>
          <w:rStyle w:val="FootnoteReference"/>
        </w:rPr>
        <w:footnoteRef/>
      </w:r>
      <w:r>
        <w:t>See Campbell (</w:t>
      </w:r>
      <w:hyperlink w:anchor="ref-campbell1994objects">
        <w:r>
          <w:rPr>
            <w:rStyle w:val="Hyperlink"/>
          </w:rPr>
          <w:t>1994</w:t>
        </w:r>
      </w:hyperlink>
      <w:r>
        <w:t>) for a similar point. With the rose example one can appeal to spatial continuity (the blooming rose is in the same place as the green plant was yesterday), but this isn't obviously sufficient for reidentification in all cases; cf. Rosefeldt (</w:t>
      </w:r>
      <w:hyperlink w:anchor="ref-rosefeldt2003">
        <w:r>
          <w:rPr>
            <w:rStyle w:val="Hyperlink"/>
          </w:rPr>
          <w:t>2003</w:t>
        </w:r>
      </w:hyperlink>
      <w:r>
        <w:t>), 150-1. I discuss continuity further below.</w:t>
      </w:r>
    </w:p>
  </w:footnote>
  <w:footnote w:id="17">
    <w:p w14:paraId="120003B6" w14:textId="77777777" w:rsidR="00FD5297" w:rsidRDefault="00AD2ADA">
      <w:pPr>
        <w:pStyle w:val="FootnoteText"/>
      </w:pPr>
      <w:r>
        <w:rPr>
          <w:rStyle w:val="FootnoteReference"/>
        </w:rPr>
        <w:footnoteRef/>
      </w:r>
      <w:r>
        <w:t>For one such articulation of how this should be understood see Land. It seems to me that Land errs though in claiming that it is intuition per se that is generated by such acts, rather than intuition of a certain kind or complexity. Relatedly, Land (</w:t>
      </w:r>
      <w:hyperlink w:anchor="ref-land2015">
        <w:r>
          <w:rPr>
            <w:rStyle w:val="Hyperlink"/>
          </w:rPr>
          <w:t>2015</w:t>
        </w:r>
      </w:hyperlink>
      <w:r>
        <w:t>) also errs in construing so-called 'nonconceptualist' positions as restricted to making claims about perceptual judgment rather than intuition. I don't see that this is the case, so long as we can distinguish between different levels of complexity in intuition.</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08A458"/>
    <w:multiLevelType w:val="multilevel"/>
    <w:tmpl w:val="1488F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C85E67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EB341510"/>
    <w:multiLevelType w:val="multilevel"/>
    <w:tmpl w:val="F454FF3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nsid w:val="34539709"/>
    <w:multiLevelType w:val="multilevel"/>
    <w:tmpl w:val="8452CE7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03588D"/>
    <w:rsid w:val="004E29B3"/>
    <w:rsid w:val="00590D07"/>
    <w:rsid w:val="00784D58"/>
    <w:rsid w:val="008D6863"/>
    <w:rsid w:val="00AD2ADA"/>
    <w:rsid w:val="00B86B75"/>
    <w:rsid w:val="00BC48D5"/>
    <w:rsid w:val="00C36279"/>
    <w:rsid w:val="00C672AB"/>
    <w:rsid w:val="00C73062"/>
    <w:rsid w:val="00DE4197"/>
    <w:rsid w:val="00E315A3"/>
    <w:rsid w:val="00E954A3"/>
    <w:rsid w:val="00EC3359"/>
    <w:rsid w:val="00FD529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F0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Heading1">
    <w:name w:val="heading 1"/>
    <w:basedOn w:val="Normal"/>
    <w:next w:val="BodyText"/>
    <w:uiPriority w:val="9"/>
    <w:qFormat/>
    <w:rsid w:val="00AD2ADA"/>
    <w:pPr>
      <w:keepNext/>
      <w:keepLines/>
      <w:spacing w:before="720" w:after="240"/>
      <w:outlineLvl w:val="0"/>
    </w:pPr>
    <w:rPr>
      <w:rFonts w:ascii="Adobe Caslon Pro" w:eastAsiaTheme="majorEastAsia" w:hAnsi="Adobe Caslon Pro" w:cstheme="majorBidi"/>
      <w:b/>
      <w:bCs/>
      <w:color w:val="345A8A" w:themeColor="accent1" w:themeShade="B5"/>
      <w:sz w:val="32"/>
      <w:szCs w:val="32"/>
    </w:rPr>
  </w:style>
  <w:style w:type="paragraph" w:styleId="Heading2">
    <w:name w:val="heading 2"/>
    <w:basedOn w:val="Normal"/>
    <w:next w:val="BodyText"/>
    <w:uiPriority w:val="9"/>
    <w:unhideWhenUsed/>
    <w:qFormat/>
    <w:rsid w:val="00E954A3"/>
    <w:pPr>
      <w:keepNext/>
      <w:keepLines/>
      <w:spacing w:before="320" w:after="120"/>
      <w:outlineLvl w:val="1"/>
    </w:pPr>
    <w:rPr>
      <w:rFonts w:ascii="Adobe Caslon Pro" w:eastAsiaTheme="majorEastAsia" w:hAnsi="Adobe Caslon Pro" w:cstheme="majorBidi"/>
      <w:b/>
      <w:bCs/>
      <w:color w:val="4F81BD" w:themeColor="accent1"/>
      <w:sz w:val="28"/>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954A3"/>
    <w:pPr>
      <w:spacing w:before="240" w:after="240" w:line="360" w:lineRule="auto"/>
    </w:pPr>
    <w:rPr>
      <w:rFonts w:ascii="Adobe Caslon Pro" w:hAnsi="Adobe Caslon Pro"/>
    </w:rPr>
  </w:style>
  <w:style w:type="paragraph" w:customStyle="1" w:styleId="FirstParagraph">
    <w:name w:val="First Paragraph"/>
    <w:basedOn w:val="BodyText"/>
    <w:next w:val="BodyText"/>
    <w:qFormat/>
    <w:rsid w:val="00E954A3"/>
  </w:style>
  <w:style w:type="paragraph" w:customStyle="1" w:styleId="Compact">
    <w:name w:val="Compact"/>
    <w:basedOn w:val="BodyText"/>
    <w:qFormat/>
    <w:pPr>
      <w:spacing w:before="36" w:after="36"/>
    </w:pPr>
  </w:style>
  <w:style w:type="paragraph" w:styleId="Title">
    <w:name w:val="Title"/>
    <w:basedOn w:val="Normal"/>
    <w:next w:val="BodyText"/>
    <w:qFormat/>
    <w:rsid w:val="00AD2ADA"/>
    <w:pPr>
      <w:keepNext/>
      <w:keepLines/>
      <w:spacing w:before="480" w:after="240"/>
      <w:jc w:val="center"/>
    </w:pPr>
    <w:rPr>
      <w:rFonts w:ascii="Adobe Caslon Pro" w:eastAsiaTheme="majorEastAsia" w:hAnsi="Adobe Caslon Pro"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AD2ADA"/>
    <w:pPr>
      <w:keepNext/>
      <w:keepLines/>
      <w:jc w:val="center"/>
    </w:pPr>
    <w:rPr>
      <w:rFonts w:ascii="Adobe Caslon Pro" w:hAnsi="Adobe Caslon Pro"/>
    </w:rPr>
  </w:style>
  <w:style w:type="paragraph" w:styleId="Date">
    <w:name w:val="Date"/>
    <w:next w:val="BodyText"/>
    <w:qFormat/>
    <w:rsid w:val="00AD2ADA"/>
    <w:pPr>
      <w:keepNext/>
      <w:keepLines/>
      <w:jc w:val="center"/>
    </w:pPr>
    <w:rPr>
      <w:rFonts w:ascii="Adobe Caslon Pro" w:hAnsi="Adobe Caslon Pro"/>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AD2ADA"/>
    <w:pPr>
      <w:spacing w:before="100" w:after="100"/>
      <w:ind w:left="720"/>
    </w:pPr>
    <w:rPr>
      <w:rFonts w:eastAsiaTheme="majorEastAsia" w:cstheme="majorBidi"/>
      <w:bCs/>
      <w:sz w:val="20"/>
      <w:szCs w:val="20"/>
    </w:rPr>
  </w:style>
  <w:style w:type="paragraph" w:styleId="FootnoteText">
    <w:name w:val="footnote text"/>
    <w:basedOn w:val="Normal"/>
    <w:uiPriority w:val="9"/>
    <w:unhideWhenUsed/>
    <w:qFormat/>
    <w:rsid w:val="00AD2ADA"/>
    <w:rPr>
      <w:rFonts w:ascii="Adobe Caslon Pro" w:hAnsi="Adobe Caslon Pro"/>
      <w:sz w:val="20"/>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sid w:val="00AD2ADA"/>
    <w:rPr>
      <w:rFonts w:ascii="Adobe Caslon Pro" w:hAnsi="Adobe Caslon Pro"/>
      <w:sz w:val="24"/>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tyle1">
    <w:name w:val="Style1"/>
    <w:basedOn w:val="Title"/>
    <w:qFormat/>
    <w:rsid w:val="00AD2ADA"/>
    <w:rPr>
      <w:sz w:val="40"/>
    </w:rPr>
  </w:style>
  <w:style w:type="character" w:customStyle="1" w:styleId="BodyTextChar">
    <w:name w:val="Body Text Char"/>
    <w:basedOn w:val="DefaultParagraphFont"/>
    <w:link w:val="BodyText"/>
    <w:rsid w:val="00E954A3"/>
    <w:rPr>
      <w:rFonts w:ascii="Adobe Caslon Pro" w:hAnsi="Adobe Caslon Pro"/>
    </w:rPr>
  </w:style>
  <w:style w:type="paragraph" w:styleId="BodyTextFirstIndent">
    <w:name w:val="Body Text First Indent"/>
    <w:basedOn w:val="BodyText"/>
    <w:link w:val="BodyTextFirstIndentChar"/>
    <w:rsid w:val="00C73062"/>
    <w:pPr>
      <w:spacing w:after="200" w:line="240" w:lineRule="auto"/>
      <w:ind w:firstLine="360"/>
    </w:pPr>
  </w:style>
  <w:style w:type="character" w:customStyle="1" w:styleId="BodyTextFirstIndentChar">
    <w:name w:val="Body Text First Indent Char"/>
    <w:basedOn w:val="BodyTextChar"/>
    <w:link w:val="BodyTextFirstIndent"/>
    <w:rsid w:val="00C73062"/>
    <w:rPr>
      <w:rFonts w:ascii="Adobe Caslon Pro" w:hAnsi="Adobe Caslon Pro"/>
    </w:rPr>
  </w:style>
  <w:style w:type="paragraph" w:styleId="BodyTextIndent">
    <w:name w:val="Body Text Indent"/>
    <w:basedOn w:val="Normal"/>
    <w:link w:val="BodyTextIndentChar"/>
    <w:rsid w:val="00C73062"/>
    <w:pPr>
      <w:spacing w:after="120"/>
      <w:ind w:left="360"/>
    </w:pPr>
    <w:rPr>
      <w:rFonts w:ascii="Adobe Caslon Pro" w:hAnsi="Adobe Caslon Pro"/>
    </w:rPr>
  </w:style>
  <w:style w:type="character" w:customStyle="1" w:styleId="BodyTextIndentChar">
    <w:name w:val="Body Text Indent Char"/>
    <w:basedOn w:val="DefaultParagraphFont"/>
    <w:link w:val="BodyTextIndent"/>
    <w:rsid w:val="00C73062"/>
    <w:rPr>
      <w:rFonts w:ascii="Adobe Caslon Pro" w:hAnsi="Adobe Caslon Pro"/>
    </w:rPr>
  </w:style>
  <w:style w:type="paragraph" w:styleId="BalloonText">
    <w:name w:val="Balloon Text"/>
    <w:basedOn w:val="Normal"/>
    <w:link w:val="BalloonTextChar"/>
    <w:rsid w:val="00DE4197"/>
    <w:pPr>
      <w:spacing w:after="0"/>
    </w:pPr>
    <w:rPr>
      <w:rFonts w:ascii="Lucida Grande" w:hAnsi="Lucida Grande"/>
      <w:sz w:val="18"/>
      <w:szCs w:val="18"/>
    </w:rPr>
  </w:style>
  <w:style w:type="character" w:customStyle="1" w:styleId="BalloonTextChar">
    <w:name w:val="Balloon Text Char"/>
    <w:basedOn w:val="DefaultParagraphFont"/>
    <w:link w:val="BalloonText"/>
    <w:rsid w:val="00DE4197"/>
    <w:rPr>
      <w:rFonts w:ascii="Lucida Grande" w:hAnsi="Lucida Grande"/>
      <w:sz w:val="18"/>
      <w:szCs w:val="18"/>
    </w:rPr>
  </w:style>
  <w:style w:type="paragraph" w:styleId="Footer">
    <w:name w:val="footer"/>
    <w:basedOn w:val="Normal"/>
    <w:link w:val="FooterChar"/>
    <w:rsid w:val="00C672AB"/>
    <w:pPr>
      <w:tabs>
        <w:tab w:val="center" w:pos="4320"/>
        <w:tab w:val="right" w:pos="8640"/>
      </w:tabs>
      <w:spacing w:after="0"/>
    </w:pPr>
  </w:style>
  <w:style w:type="character" w:customStyle="1" w:styleId="FooterChar">
    <w:name w:val="Footer Char"/>
    <w:basedOn w:val="DefaultParagraphFont"/>
    <w:link w:val="Footer"/>
    <w:rsid w:val="00C672AB"/>
  </w:style>
  <w:style w:type="character" w:styleId="PageNumber">
    <w:name w:val="page number"/>
    <w:basedOn w:val="DefaultParagraphFont"/>
    <w:rsid w:val="00C672A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quod.lib.umich.edu/cgi/p/pod/dod-idx/kant-on-animal-consciousness.pdf?c=phimp;idno=3521354.0011.015" TargetMode="External"/><Relationship Id="rId21" Type="http://schemas.openxmlformats.org/officeDocument/2006/relationships/hyperlink" Target="http://doi.org/10.1111/phc3.12166" TargetMode="External"/><Relationship Id="rId22" Type="http://schemas.openxmlformats.org/officeDocument/2006/relationships/hyperlink" Target="http://philpapers.org/rec/MCLKOP" TargetMode="External"/><Relationship Id="rId23" Type="http://schemas.openxmlformats.org/officeDocument/2006/relationships/hyperlink" Target="http://doi.org/10.1353/hph.2015.0011" TargetMode="External"/><Relationship Id="rId24" Type="http://schemas.openxmlformats.org/officeDocument/2006/relationships/hyperlink" Target="http://www.degruyter.com/view/j/kant.1990.81.issue-1/kant.1990.81.1.1/kant.1990.81.1.1.xml" TargetMode="External"/><Relationship Id="rId25" Type="http://schemas.openxmlformats.org/officeDocument/2006/relationships/hyperlink" Target="http://doi.org/10.1093/mind/fzp097" TargetMode="External"/><Relationship Id="rId26" Type="http://schemas.openxmlformats.org/officeDocument/2006/relationships/hyperlink" Target="http://link.springer.com/article/10.1007/BF01063717" TargetMode="External"/><Relationship Id="rId27" Type="http://schemas.openxmlformats.org/officeDocument/2006/relationships/hyperlink" Target="http://stanford.library.usyd.edu.au/entries/kant-transcendental/" TargetMode="External"/><Relationship Id="rId28" Type="http://schemas.openxmlformats.org/officeDocument/2006/relationships/hyperlink" Target="http://doi.org/10.1093/mind/fzp131" TargetMode="External"/><Relationship Id="rId29" Type="http://schemas.openxmlformats.org/officeDocument/2006/relationships/hyperlink" Target="http://doi.org/10.1093/acprof:oso/9780199692040.003.0008"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doi.org/10.1007/978-94-011-1008-2_17" TargetMode="External"/><Relationship Id="rId31" Type="http://schemas.openxmlformats.org/officeDocument/2006/relationships/footer" Target="footer1.xml"/><Relationship Id="rId32" Type="http://schemas.openxmlformats.org/officeDocument/2006/relationships/footer" Target="footer2.xml"/><Relationship Id="rId9" Type="http://schemas.openxmlformats.org/officeDocument/2006/relationships/hyperlink" Target="http://doi.org/10.1007/978-90-481-9719-4_5"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oi.org/10.1353/hph.0.0134"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doi.org/10.1111/j.1467-9264.2008.00247.x" TargetMode="External"/><Relationship Id="rId11" Type="http://schemas.openxmlformats.org/officeDocument/2006/relationships/hyperlink" Target="http://www.jstor.org/stable/3749880" TargetMode="External"/><Relationship Id="rId12" Type="http://schemas.openxmlformats.org/officeDocument/2006/relationships/hyperlink" Target="http://doi.org/10.1111/j.1747-9991.2010.00370.x" TargetMode="External"/><Relationship Id="rId13" Type="http://schemas.openxmlformats.org/officeDocument/2006/relationships/hyperlink" Target="http://doi.org/10.1111/1468-0378.00038" TargetMode="External"/><Relationship Id="rId14" Type="http://schemas.openxmlformats.org/officeDocument/2006/relationships/hyperlink" Target="http://doi.org/10.2307/1289631" TargetMode="External"/><Relationship Id="rId15" Type="http://schemas.openxmlformats.org/officeDocument/2006/relationships/hyperlink" Target="http://doi.org/10.5840/philtopics2006341/24" TargetMode="External"/><Relationship Id="rId16" Type="http://schemas.openxmlformats.org/officeDocument/2006/relationships/hyperlink" Target="http://doi.org/10.1007/s11098-007-9163-3" TargetMode="External"/><Relationship Id="rId17" Type="http://schemas.openxmlformats.org/officeDocument/2006/relationships/hyperlink" Target="http://virtualcritique.wordpress.com/2014/08/20/reply-to-colin-mclear/" TargetMode="External"/><Relationship Id="rId18" Type="http://schemas.openxmlformats.org/officeDocument/2006/relationships/hyperlink" Target="http://doi.org/10.1111/j.0966-8373.2005.00229.x" TargetMode="External"/><Relationship Id="rId19" Type="http://schemas.openxmlformats.org/officeDocument/2006/relationships/hyperlink" Target="http://doi.org/10.1017/S13694154140002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4603</Words>
  <Characters>26241</Characters>
  <Application>Microsoft Macintosh Word</Application>
  <DocSecurity>0</DocSecurity>
  <Lines>218</Lines>
  <Paragraphs>61</Paragraphs>
  <ScaleCrop>false</ScaleCrop>
  <Company/>
  <LinksUpToDate>false</LinksUpToDate>
  <CharactersWithSpaces>30783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Animals and Objectivity</dc:title>
  <dc:creator>Colin McLear</dc:creator>
  <cp:lastModifiedBy>Colin McLear</cp:lastModifiedBy>
  <cp:revision>7</cp:revision>
  <dcterms:created xsi:type="dcterms:W3CDTF">2015-06-22T00:02:00Z</dcterms:created>
  <dcterms:modified xsi:type="dcterms:W3CDTF">2015-08-07T04:17:00Z</dcterms:modified>
</cp:coreProperties>
</file>