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Group Name: LEAN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Date of Meeting: 02/18/2016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Location of Meeting: SSC 014</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Start and End Times: 8:00 - 9:15</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Members Attending: Justin, Jeremy, Jorge, Robert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Members Not Attending: None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Guests Attending: John Gallagher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Review of Current and Pending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Ordering problems were discussed by the group with Dr. Gallagher. The emails sent were perceived as insulting, and the chain of supply has now changed.  Dr. Gallagher is now our point of contact for supplies. Dr. Gallagher has ordered our supplies from amazon and adafruit.</w:t>
      </w: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Test cases scheduled to be discussed this week were distributed to all team members via Google Drive.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Summary of Progress on Action Items Due At This Meeting (Member Reports)</w:t>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Work has been submitted by all members on refining the test cases to more closely fit with the requirements of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ff0000"/>
          <w:sz w:val="24"/>
          <w:szCs w:val="24"/>
          <w:rtl w:val="0"/>
        </w:rPr>
        <w:tab/>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Discussion of Current Group Status WRT Current and Pending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Items have been purchased today. Once the hardware is received, installations and configurations will begin.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Decisions with Respect to LONG TERM WHOLE GROUP GOALS.</w:t>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The long-term goals are still sustainable at this point.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Discussion of Action Items and Action Item Assignment for Next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Justin - Will write up test cases for two server related requirements. Will also install raspbian OS on his raspberry pi, also will start network configuring.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Jeremy - Will write up test cases for three pod related requirements. Will transfer all requirements to the test case document and give them an ID.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Robert - will install ubuntu on an external hard drive for use on his laptop. Will also install MySQL database and Python.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Jorge - Will write a report for configuring raspbian in a windows emulator and configuring VPN networking.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