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"/>
      </w:pPr>
      <w:r>
        <w:rPr>
          <w:b/>
          <w:bCs/>
          <w:i w:val="false"/>
          <w:iCs w:val="false"/>
        </w:rPr>
        <w:t xml:space="preserve">Andrew Cardin</w:t>
      </w:r>
    </w:p>
    <w:p>
      <w:pPr>
        <w:pStyle w:val="subheading"/>
        <w:jc w:val="center"/>
      </w:pPr>
      <w:r>
        <w:rPr>
          <w:b w:val="false"/>
          <w:bCs w:val="false"/>
          <w:i w:val="false"/>
          <w:iCs w:val="false"/>
        </w:rPr>
        <w:t xml:space="preserve">Kansas City, MO | 816-258-1725| </w:t>
      </w:r>
      <w:hyperlink w:history="1" r:id="rIdtjvukwur9hkgfdh9t5je_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cardin.andrew@gmail.com</w:t>
        </w:r>
      </w:hyperlink>
      <w:r>
        <w:rPr>
          <w:b w:val="false"/>
          <w:bCs w:val="false"/>
          <w:i w:val="false"/>
          <w:iCs w:val="false"/>
        </w:rPr>
        <w:t xml:space="preserve"> | </w:t>
      </w:r>
      <w:hyperlink w:history="1" r:id="rIdwphvhvzdfxdr3ybhfxmuh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https://www.linkedin.com/in/acardin/</w:t>
        </w:r>
      </w:hyperlink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i w:val="false"/>
          <w:iCs w:val="false"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Western Governor's University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Salt Lake City, UT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BS Software Engineering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Mar 2024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Aldi USA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Olathe, KS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Warehouse Associate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Aug 2023 - Finish Date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Selected and organized products for distribution, ensuring accurate and efficient inventory management for local stores.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Built pallets using proper stacking techniques, reducing product damage and increasing delivery speed.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Costco Wholesale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Kansas City, MO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Forklift Driver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Mar 2017 - Aug 2023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Operated forklift machinery to efficiently load and unload trucks, with a 99% accuracy rate in safely handling and positioning pallets.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Efficiently organized and arranged merchandise inventory, ensuring a visually appealing display that increased customer engagement and drove sales.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Assisted members in locating products and answering inquiries, displaying excellent customer service.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Armed Forces Insurance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Leavenworth, KS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Programmer/Analyst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Aug 2015 - May 2016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and deployed new features and enhancements to the customer facing web application, resulting inn increase in user engagement and a decrease in customer support tickets.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Collaborated with the sales team and IT management to prioritize and resolve tickets related to the web application.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Implemented performance optimizations to the web application, resulting in a decrease in page load times and an improved overall user experience.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skills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/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HTML, CSS, BOOTSTRAP,, JAVASCRIPT, PYTHON, JAVA, C#, SQL, GIT, AGILE, AWS, AND UI/UX</w:t>
            </w:r>
          </w:p>
        </w:tc>
      </w:tr>
    </w:tbl>
    <w:p/>
    <w:sectPr>
      <w:pgSz w:w="11906" w:h="16838" w:orient="portrait"/>
      <w:pgMar w:top="1000" w:right="696" w:bottom="500" w:left="6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  <w:rFonts w:ascii="TimesNewRoman" w:cs="TimesNewRoman" w:eastAsia="TimesNewRoman" w:hAnsi="TimesNewRoman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tjvukwur9hkgfdh9t5je_" Type="http://schemas.openxmlformats.org/officeDocument/2006/relationships/hyperlink" Target="mailto:cardin.andrew@gmail.com" TargetMode="External"/><Relationship Id="rIdwphvhvzdfxdr3ybhfxmuh" Type="http://schemas.openxmlformats.org/officeDocument/2006/relationships/hyperlink" Target="https://www.linkedin.com/in/acardin/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CARDINA RESUME</dc:title>
  <dc:creator>Wonsulting</dc:creator>
  <cp:lastModifiedBy>Un-named</cp:lastModifiedBy>
  <cp:revision>1</cp:revision>
  <dcterms:created xsi:type="dcterms:W3CDTF">2023-08-22T13:33:00.422Z</dcterms:created>
  <dcterms:modified xsi:type="dcterms:W3CDTF">2023-08-22T13:33:00.422Z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