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0252B" w14:textId="77777777" w:rsidR="002B064B" w:rsidRDefault="00000000">
      <w:pPr>
        <w:pStyle w:val="Heading1"/>
        <w:ind w:left="3240" w:right="3130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Letter of Intent</w:t>
      </w:r>
    </w:p>
    <w:p w14:paraId="2E6ECD78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4"/>
          <w:szCs w:val="14"/>
        </w:rPr>
      </w:pPr>
    </w:p>
    <w:p w14:paraId="6BCD4F2E" w14:textId="45CE44F4" w:rsidR="002B064B" w:rsidRDefault="00000000">
      <w:pPr>
        <w:spacing w:before="92"/>
        <w:rPr>
          <w:b/>
        </w:rPr>
      </w:pPr>
      <w:proofErr w:type="gramStart"/>
      <w:r>
        <w:rPr>
          <w:b/>
        </w:rPr>
        <w:t xml:space="preserve">DATE: </w:t>
      </w:r>
      <w:r>
        <w:rPr>
          <w:b/>
        </w:rPr>
        <w:tab/>
      </w:r>
      <w:r w:rsidR="0090040E">
        <w:rPr>
          <w:b/>
        </w:rPr>
        <w:t>{</w:t>
      </w:r>
      <w:r>
        <w:rPr>
          <w:b/>
          <w:highlight w:val="yellow"/>
        </w:rPr>
        <w:t>{</w:t>
      </w:r>
      <w:proofErr w:type="gramEnd"/>
      <w:r>
        <w:rPr>
          <w:b/>
          <w:highlight w:val="yellow"/>
        </w:rPr>
        <w:t>today}</w:t>
      </w:r>
      <w:r w:rsidR="0090040E">
        <w:rPr>
          <w:b/>
        </w:rPr>
        <w:t>}</w:t>
      </w:r>
    </w:p>
    <w:p w14:paraId="3E6388B4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B8037F0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0EE9DCC" w14:textId="2599FEFC" w:rsidR="002B064B" w:rsidRDefault="00000000">
      <w:pPr>
        <w:tabs>
          <w:tab w:val="left" w:pos="1898"/>
        </w:tabs>
        <w:spacing w:before="203"/>
      </w:pPr>
      <w:proofErr w:type="gramStart"/>
      <w:r>
        <w:rPr>
          <w:b/>
        </w:rPr>
        <w:t>Purchaser:</w:t>
      </w:r>
      <w:r>
        <w:rPr>
          <w:b/>
        </w:rPr>
        <w:tab/>
      </w:r>
      <w:r w:rsidR="0090040E">
        <w:rPr>
          <w:b/>
        </w:rPr>
        <w:t>{</w:t>
      </w:r>
      <w:r>
        <w:rPr>
          <w:highlight w:val="yellow"/>
        </w:rPr>
        <w:t>{</w:t>
      </w:r>
      <w:proofErr w:type="spellStart"/>
      <w:proofErr w:type="gramEnd"/>
      <w:r>
        <w:rPr>
          <w:highlight w:val="yellow"/>
        </w:rPr>
        <w:t>buyer_entity</w:t>
      </w:r>
      <w:proofErr w:type="spellEnd"/>
      <w:r>
        <w:rPr>
          <w:highlight w:val="yellow"/>
        </w:rPr>
        <w:t>}</w:t>
      </w:r>
      <w:r w:rsidR="0090040E">
        <w:t>}</w:t>
      </w:r>
    </w:p>
    <w:p w14:paraId="6D286A02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77B2D5" w14:textId="3774C790" w:rsidR="002B064B" w:rsidRDefault="00000000">
      <w:pPr>
        <w:pStyle w:val="Heading1"/>
        <w:spacing w:before="207"/>
        <w:ind w:left="0"/>
      </w:pPr>
      <w:r>
        <w:t xml:space="preserve">RE: </w:t>
      </w:r>
      <w:r w:rsidR="0090040E">
        <w:t>{</w:t>
      </w:r>
      <w:r>
        <w:rPr>
          <w:highlight w:val="yellow"/>
        </w:rPr>
        <w:t>{</w:t>
      </w:r>
      <w:proofErr w:type="spellStart"/>
      <w:r>
        <w:rPr>
          <w:highlight w:val="yellow"/>
        </w:rPr>
        <w:t>full_address</w:t>
      </w:r>
      <w:proofErr w:type="spellEnd"/>
      <w:r>
        <w:rPr>
          <w:highlight w:val="yellow"/>
        </w:rPr>
        <w:t>}</w:t>
      </w:r>
      <w:r w:rsidR="0090040E">
        <w:rPr>
          <w:highlight w:val="yellow"/>
        </w:rPr>
        <w:t>}</w:t>
      </w:r>
      <w:r>
        <w:rPr>
          <w:highlight w:val="yellow"/>
        </w:rPr>
        <w:t xml:space="preserve"> </w:t>
      </w:r>
      <w:r>
        <w:t>(“the Property”)</w:t>
      </w:r>
    </w:p>
    <w:p w14:paraId="051462A2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A189EBD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D8EBA37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ind w:right="415"/>
        <w:jc w:val="both"/>
        <w:rPr>
          <w:color w:val="000000"/>
        </w:rPr>
      </w:pPr>
      <w:r>
        <w:rPr>
          <w:color w:val="000000"/>
        </w:rPr>
        <w:t xml:space="preserve">This </w:t>
      </w:r>
      <w:r>
        <w:rPr>
          <w:b/>
          <w:color w:val="000000"/>
        </w:rPr>
        <w:t xml:space="preserve">non-binding letter </w:t>
      </w:r>
      <w:r>
        <w:rPr>
          <w:color w:val="000000"/>
        </w:rPr>
        <w:t>represents Purchaser’s intent to purchase the above captioned property (the “Property”) including the land and improvements on the following terms and conditions:</w:t>
      </w:r>
    </w:p>
    <w:p w14:paraId="078A85B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68382D4B" w14:textId="4A11668B" w:rsidR="002B064B" w:rsidRDefault="00000000">
      <w:pPr>
        <w:tabs>
          <w:tab w:val="left" w:pos="2618"/>
        </w:tabs>
        <w:jc w:val="both"/>
      </w:pPr>
      <w:r>
        <w:rPr>
          <w:b/>
        </w:rPr>
        <w:t>Price:</w:t>
      </w:r>
      <w:r>
        <w:rPr>
          <w:b/>
        </w:rPr>
        <w:tab/>
      </w:r>
      <w:r>
        <w:t>$</w:t>
      </w:r>
      <w:r w:rsidR="0090040E">
        <w:t>{</w:t>
      </w:r>
      <w:r>
        <w:rPr>
          <w:b/>
          <w:highlight w:val="yellow"/>
        </w:rPr>
        <w:t>{price}</w:t>
      </w:r>
      <w:r w:rsidR="0090040E">
        <w:rPr>
          <w:b/>
        </w:rPr>
        <w:t>}</w:t>
      </w:r>
    </w:p>
    <w:p w14:paraId="4E2E8D7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F59AF7" w14:textId="0FF0231E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line="237" w:lineRule="auto"/>
        <w:ind w:left="2618" w:right="421" w:hanging="2618"/>
        <w:rPr>
          <w:color w:val="000000"/>
        </w:rPr>
      </w:pPr>
      <w:r>
        <w:rPr>
          <w:b/>
          <w:color w:val="000000"/>
        </w:rPr>
        <w:t>Financing:</w:t>
      </w:r>
      <w:r>
        <w:rPr>
          <w:b/>
          <w:color w:val="000000"/>
        </w:rPr>
        <w:tab/>
      </w:r>
      <w:r>
        <w:rPr>
          <w:color w:val="000000"/>
        </w:rPr>
        <w:t xml:space="preserve">Purchaser intends to </w:t>
      </w:r>
      <w:r>
        <w:t>obtain a loan</w:t>
      </w:r>
      <w:r>
        <w:rPr>
          <w:color w:val="000000"/>
        </w:rPr>
        <w:t xml:space="preserve"> of roughly $</w:t>
      </w:r>
      <w:r w:rsidR="0090040E">
        <w:rPr>
          <w:color w:val="000000"/>
        </w:rPr>
        <w:t>{</w:t>
      </w:r>
      <w:r>
        <w:rPr>
          <w:highlight w:val="yellow"/>
        </w:rPr>
        <w:t>{financing}</w:t>
      </w:r>
      <w:r w:rsidR="0090040E">
        <w:rPr>
          <w:highlight w:val="yellow"/>
        </w:rPr>
        <w:t>}</w:t>
      </w:r>
      <w:r>
        <w:rPr>
          <w:color w:val="000000"/>
          <w:highlight w:val="yellow"/>
        </w:rPr>
        <w:t xml:space="preserve"> </w:t>
      </w:r>
      <w:r>
        <w:rPr>
          <w:color w:val="000000"/>
        </w:rPr>
        <w:t>commercial financing priced at prevailing interest rates.</w:t>
      </w:r>
    </w:p>
    <w:p w14:paraId="6B46F149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line="237" w:lineRule="auto"/>
        <w:ind w:right="421"/>
        <w:rPr>
          <w:color w:val="000000"/>
        </w:rPr>
      </w:pPr>
    </w:p>
    <w:p w14:paraId="1BA36B97" w14:textId="2676AEC5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8" w:right="418" w:hanging="2618"/>
        <w:jc w:val="both"/>
        <w:rPr>
          <w:b/>
          <w:color w:val="000000"/>
        </w:rPr>
      </w:pPr>
      <w:r>
        <w:rPr>
          <w:b/>
          <w:color w:val="000000"/>
        </w:rPr>
        <w:t>Earnest Money:</w:t>
      </w:r>
      <w:r>
        <w:rPr>
          <w:b/>
          <w:color w:val="000000"/>
        </w:rPr>
        <w:tab/>
      </w:r>
      <w:r>
        <w:rPr>
          <w:color w:val="222222"/>
          <w:highlight w:val="white"/>
        </w:rPr>
        <w:t>Concurrently with full execution of a Purchase &amp; Sale Agreement, Purchaser shall make an earnest money deposit (“The Initial Deposit”) with a mutually agreed upon escrow agent in the amount of USD $</w:t>
      </w:r>
      <w:r w:rsidR="0090040E">
        <w:rPr>
          <w:color w:val="222222"/>
          <w:highlight w:val="white"/>
        </w:rPr>
        <w:t>{</w:t>
      </w:r>
      <w:r>
        <w:rPr>
          <w:color w:val="222222"/>
          <w:highlight w:val="yellow"/>
        </w:rPr>
        <w:t>{earnest1}</w:t>
      </w:r>
      <w:r w:rsidR="0090040E">
        <w:rPr>
          <w:color w:val="222222"/>
          <w:highlight w:val="yellow"/>
        </w:rPr>
        <w:t>}</w:t>
      </w:r>
      <w:r>
        <w:rPr>
          <w:color w:val="222222"/>
          <w:highlight w:val="yellow"/>
        </w:rPr>
        <w:t xml:space="preserve"> </w:t>
      </w:r>
      <w:r>
        <w:rPr>
          <w:color w:val="222222"/>
          <w:highlight w:val="white"/>
        </w:rPr>
        <w:t xml:space="preserve">to be held in escrow and applied to the purchase price at closing.  On expiration of the Due Diligence, Purchaser will pay a further </w:t>
      </w:r>
      <w:r>
        <w:rPr>
          <w:color w:val="000000"/>
        </w:rPr>
        <w:t>$</w:t>
      </w:r>
      <w:r w:rsidR="0090040E">
        <w:rPr>
          <w:color w:val="000000"/>
        </w:rPr>
        <w:t>{</w:t>
      </w:r>
      <w:r>
        <w:rPr>
          <w:highlight w:val="yellow"/>
        </w:rPr>
        <w:t>{earnest2}</w:t>
      </w:r>
      <w:r w:rsidR="0090040E">
        <w:t>}</w:t>
      </w:r>
      <w:r>
        <w:rPr>
          <w:color w:val="000000"/>
        </w:rPr>
        <w:t xml:space="preserve"> </w:t>
      </w:r>
      <w:r>
        <w:rPr>
          <w:color w:val="222222"/>
          <w:highlight w:val="white"/>
        </w:rPr>
        <w:t>deposit towards the purchase price and the combined $</w:t>
      </w:r>
      <w:r w:rsidR="0090040E">
        <w:rPr>
          <w:color w:val="222222"/>
          <w:highlight w:val="white"/>
        </w:rPr>
        <w:t>{</w:t>
      </w:r>
      <w:r>
        <w:rPr>
          <w:color w:val="222222"/>
          <w:highlight w:val="yellow"/>
        </w:rPr>
        <w:t>{</w:t>
      </w:r>
      <w:proofErr w:type="spellStart"/>
      <w:r>
        <w:rPr>
          <w:color w:val="222222"/>
          <w:highlight w:val="yellow"/>
        </w:rPr>
        <w:t>total_earnest</w:t>
      </w:r>
      <w:proofErr w:type="spellEnd"/>
      <w:r>
        <w:rPr>
          <w:color w:val="222222"/>
          <w:highlight w:val="yellow"/>
        </w:rPr>
        <w:t>}</w:t>
      </w:r>
      <w:r w:rsidR="0090040E">
        <w:rPr>
          <w:color w:val="222222"/>
          <w:highlight w:val="yellow"/>
        </w:rPr>
        <w:t>}</w:t>
      </w:r>
      <w:r>
        <w:rPr>
          <w:color w:val="222222"/>
          <w:highlight w:val="white"/>
        </w:rPr>
        <w:t xml:space="preserve"> will be fully non-refundable.</w:t>
      </w:r>
    </w:p>
    <w:p w14:paraId="67635340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D9E75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8" w:right="418" w:hanging="2618"/>
        <w:jc w:val="both"/>
        <w:rPr>
          <w:color w:val="000000"/>
        </w:rPr>
      </w:pPr>
      <w:r>
        <w:rPr>
          <w:b/>
          <w:color w:val="000000"/>
        </w:rPr>
        <w:t>Due Diligence:</w:t>
      </w:r>
      <w:r>
        <w:rPr>
          <w:b/>
          <w:color w:val="000000"/>
        </w:rPr>
        <w:tab/>
      </w:r>
      <w:r>
        <w:rPr>
          <w:color w:val="000000"/>
        </w:rPr>
        <w:t xml:space="preserve">Purchaser shall have </w:t>
      </w:r>
      <w:r>
        <w:rPr>
          <w:color w:val="000000"/>
          <w:highlight w:val="yellow"/>
        </w:rPr>
        <w:t>45</w:t>
      </w:r>
      <w:r>
        <w:rPr>
          <w:color w:val="000000"/>
        </w:rPr>
        <w:t xml:space="preserve"> calendar days due diligence period from the time of the execution of a formal Purchase and Sale Agreement and receipt of relevant documents.</w:t>
      </w:r>
    </w:p>
    <w:p w14:paraId="3634D109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9" w:right="418" w:hanging="2160"/>
        <w:jc w:val="both"/>
        <w:rPr>
          <w:color w:val="000000"/>
        </w:rPr>
      </w:pPr>
    </w:p>
    <w:p w14:paraId="23441AA4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9" w:right="418" w:hanging="2160"/>
        <w:jc w:val="both"/>
        <w:rPr>
          <w:color w:val="000000"/>
        </w:rPr>
      </w:pPr>
      <w:r>
        <w:rPr>
          <w:color w:val="000000"/>
        </w:rPr>
        <w:tab/>
        <w:t xml:space="preserve">Seller to provide all books and records within </w:t>
      </w:r>
      <w:r>
        <w:rPr>
          <w:color w:val="000000"/>
          <w:highlight w:val="yellow"/>
        </w:rPr>
        <w:t>3</w:t>
      </w:r>
      <w:r>
        <w:rPr>
          <w:color w:val="000000"/>
        </w:rPr>
        <w:t xml:space="preserve"> business </w:t>
      </w:r>
      <w:proofErr w:type="gramStart"/>
      <w:r>
        <w:rPr>
          <w:color w:val="000000"/>
        </w:rPr>
        <w:t>day</w:t>
      </w:r>
      <w:proofErr w:type="gramEnd"/>
      <w:r>
        <w:rPr>
          <w:color w:val="000000"/>
        </w:rPr>
        <w:t xml:space="preserve"> of effective contract date, including HOA resale certificates, property disclosures, 3 years of financial statements, pending litigation, and all documentation related to sewage intrusion.</w:t>
      </w:r>
    </w:p>
    <w:p w14:paraId="06BECD4A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D63CD7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  <w:r>
        <w:rPr>
          <w:b/>
          <w:color w:val="000000"/>
        </w:rPr>
        <w:t>Title Contingency:</w:t>
      </w:r>
      <w:r>
        <w:rPr>
          <w:b/>
          <w:color w:val="000000"/>
        </w:rPr>
        <w:tab/>
      </w:r>
      <w:r>
        <w:rPr>
          <w:color w:val="000000"/>
        </w:rPr>
        <w:t xml:space="preserve">Seller shall be ready, willing and able to deliver free and clear title to the Property at closing, subject to standard title exceptions acceptable to Purchaser. </w:t>
      </w:r>
    </w:p>
    <w:p w14:paraId="15E8DD59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717" w:hanging="2160"/>
        <w:rPr>
          <w:color w:val="000000"/>
        </w:rPr>
      </w:pPr>
      <w:r>
        <w:rPr>
          <w:color w:val="000000"/>
        </w:rPr>
        <w:tab/>
      </w:r>
    </w:p>
    <w:p w14:paraId="21805F9F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717" w:hanging="2160"/>
        <w:rPr>
          <w:color w:val="000000"/>
        </w:rPr>
      </w:pPr>
      <w:r>
        <w:rPr>
          <w:color w:val="000000"/>
        </w:rPr>
        <w:tab/>
        <w:t xml:space="preserve">Purchaser to select title and escrow companies. </w:t>
      </w:r>
    </w:p>
    <w:p w14:paraId="54E12AC1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5D321FB4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160" w:right="720" w:hanging="2160"/>
        <w:rPr>
          <w:color w:val="000000"/>
        </w:rPr>
      </w:pPr>
      <w:r>
        <w:rPr>
          <w:b/>
          <w:color w:val="000000"/>
          <w:highlight w:val="yellow"/>
        </w:rPr>
        <w:t>Appraisal Contingency:</w:t>
      </w:r>
      <w:r>
        <w:rPr>
          <w:b/>
          <w:color w:val="000000"/>
          <w:highlight w:val="yellow"/>
        </w:rPr>
        <w:tab/>
      </w:r>
      <w:r>
        <w:rPr>
          <w:color w:val="000000"/>
          <w:highlight w:val="yellow"/>
        </w:rPr>
        <w:t>None</w:t>
      </w:r>
    </w:p>
    <w:p w14:paraId="66F72450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32390ECB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  <w:r>
        <w:rPr>
          <w:b/>
          <w:color w:val="000000"/>
        </w:rPr>
        <w:t>Buyer Contingency:</w:t>
      </w:r>
      <w:r>
        <w:rPr>
          <w:b/>
          <w:color w:val="000000"/>
        </w:rPr>
        <w:tab/>
      </w:r>
      <w:r>
        <w:rPr>
          <w:color w:val="000000"/>
        </w:rPr>
        <w:t>Purchaser’s obligation to purchase is contingent upon Purchaser’s successful sale of its Ohio property as part of a Section 1031 like-kind exchange, with Seller agreeing to reasonably cooperate (at no additional cost or liability to Seller).</w:t>
      </w:r>
    </w:p>
    <w:p w14:paraId="51F953A4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</w:p>
    <w:p w14:paraId="650AA8DF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  <w:r>
        <w:rPr>
          <w:color w:val="000000"/>
        </w:rPr>
        <w:tab/>
      </w:r>
      <w:r>
        <w:rPr>
          <w:color w:val="000000"/>
          <w:highlight w:val="yellow"/>
        </w:rPr>
        <w:t>Purchaser’s obligation to purchase is contingent upon HOA approval of bulk sale.</w:t>
      </w:r>
    </w:p>
    <w:p w14:paraId="64FD5B3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right="717"/>
        <w:rPr>
          <w:color w:val="000000"/>
        </w:rPr>
      </w:pPr>
    </w:p>
    <w:p w14:paraId="66A20009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432" w:hanging="2618"/>
        <w:jc w:val="both"/>
        <w:rPr>
          <w:color w:val="000000"/>
        </w:rPr>
      </w:pPr>
      <w:r>
        <w:rPr>
          <w:b/>
          <w:color w:val="000000"/>
        </w:rPr>
        <w:t>Closing:</w:t>
      </w:r>
      <w:r>
        <w:rPr>
          <w:b/>
          <w:color w:val="000000"/>
        </w:rPr>
        <w:tab/>
      </w:r>
      <w:r>
        <w:rPr>
          <w:color w:val="000000"/>
        </w:rPr>
        <w:t xml:space="preserve">Closing shall occur after completion of due diligence period on a date </w:t>
      </w:r>
      <w:proofErr w:type="gramStart"/>
      <w:r>
        <w:rPr>
          <w:color w:val="000000"/>
        </w:rPr>
        <w:lastRenderedPageBreak/>
        <w:t>agreed to</w:t>
      </w:r>
      <w:proofErr w:type="gramEnd"/>
      <w:r>
        <w:rPr>
          <w:color w:val="000000"/>
        </w:rPr>
        <w:t xml:space="preserve"> by Purchaser and Seller and further detailed in the Purchase and Sale Agreement. Closing shall not take place any sooner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45 days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the execution of a formal Purchase and Sale Agreement. </w:t>
      </w:r>
    </w:p>
    <w:p w14:paraId="6FE8410B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416" w:hanging="216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14:paraId="3C1432CA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416" w:hanging="2160"/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>Purchaser and Seller agree to a one (1) time 15-day optional extension for closing.</w:t>
      </w:r>
    </w:p>
    <w:p w14:paraId="6DED498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432A60DD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612" w:hanging="2618"/>
        <w:rPr>
          <w:color w:val="000000"/>
        </w:rPr>
      </w:pPr>
      <w:r>
        <w:rPr>
          <w:b/>
          <w:color w:val="000000"/>
        </w:rPr>
        <w:t>Closing Costs:</w:t>
      </w:r>
      <w:r>
        <w:rPr>
          <w:b/>
          <w:color w:val="000000"/>
        </w:rPr>
        <w:tab/>
      </w:r>
      <w:r>
        <w:rPr>
          <w:color w:val="000000"/>
        </w:rPr>
        <w:t xml:space="preserve">Purchaser shall pay the cost of obtaining a title commitment and an owner’s policy of title insurance. </w:t>
      </w:r>
    </w:p>
    <w:p w14:paraId="4BD2C757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</w:p>
    <w:p w14:paraId="70363243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  <w:r>
        <w:rPr>
          <w:color w:val="000000"/>
        </w:rPr>
        <w:tab/>
        <w:t>Seller shall pay for documentary stamps on the deed conveying the Property to Purchaser.</w:t>
      </w:r>
    </w:p>
    <w:p w14:paraId="6A33367D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</w:p>
    <w:p w14:paraId="49BE46E1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Seller and Listing Broker to execute a valid Brokerage Referral Agreement with Buyer’s brokerage providing for 3% commission payable to Buyer’s Brokerage.</w:t>
      </w:r>
    </w:p>
    <w:p w14:paraId="23B20E0A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</w:p>
    <w:p w14:paraId="00D1697B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619"/>
        <w:jc w:val="both"/>
        <w:rPr>
          <w:color w:val="000000"/>
        </w:rPr>
      </w:pPr>
      <w:r>
        <w:rPr>
          <w:b/>
          <w:color w:val="000000"/>
        </w:rPr>
        <w:t>Purchase Contract</w:t>
      </w:r>
      <w:proofErr w:type="gramStart"/>
      <w:r>
        <w:rPr>
          <w:b/>
          <w:color w:val="000000"/>
        </w:rPr>
        <w:t xml:space="preserve">: </w:t>
      </w:r>
      <w:r>
        <w:rPr>
          <w:b/>
          <w:color w:val="000000"/>
        </w:rPr>
        <w:tab/>
      </w:r>
      <w:r>
        <w:rPr>
          <w:color w:val="000000"/>
        </w:rPr>
        <w:t>Pending</w:t>
      </w:r>
      <w:proofErr w:type="gramEnd"/>
      <w:r>
        <w:rPr>
          <w:color w:val="000000"/>
        </w:rPr>
        <w:t xml:space="preserve"> receipt of sufficient information from Seller, Purchaser shall have (5) business days from mutual execution of this Letter of Intent agreement to submit a purchase and sale agreement.</w:t>
      </w:r>
    </w:p>
    <w:p w14:paraId="7CC850F9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16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14:paraId="2BD750A1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160"/>
        <w:jc w:val="both"/>
        <w:rPr>
          <w:color w:val="000000"/>
        </w:rPr>
      </w:pPr>
      <w:r>
        <w:rPr>
          <w:color w:val="000000"/>
        </w:rPr>
        <w:tab/>
      </w:r>
    </w:p>
    <w:p w14:paraId="7E3CEC5A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ind w:right="418"/>
        <w:jc w:val="both"/>
        <w:rPr>
          <w:color w:val="000000"/>
        </w:rPr>
      </w:pPr>
    </w:p>
    <w:p w14:paraId="02443DEC" w14:textId="39A1C86F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right="415"/>
        <w:jc w:val="both"/>
        <w:rPr>
          <w:color w:val="000000"/>
        </w:rPr>
      </w:pPr>
      <w:r>
        <w:rPr>
          <w:color w:val="000000"/>
        </w:rPr>
        <w:t xml:space="preserve">This letter of intent is </w:t>
      </w:r>
      <w:r>
        <w:rPr>
          <w:b/>
          <w:color w:val="000000"/>
        </w:rPr>
        <w:t xml:space="preserve">not intended </w:t>
      </w:r>
      <w:r>
        <w:rPr>
          <w:color w:val="000000"/>
        </w:rPr>
        <w:t xml:space="preserve">to create a binding agreement on the Seller to sell or the Purchaser to buy. The purpose of this letter is to set forth the primary terms and conditions upon which </w:t>
      </w:r>
      <w:proofErr w:type="gramStart"/>
      <w:r>
        <w:rPr>
          <w:color w:val="000000"/>
        </w:rPr>
        <w:t>to execute</w:t>
      </w:r>
      <w:proofErr w:type="gramEnd"/>
      <w:r>
        <w:rPr>
          <w:color w:val="000000"/>
        </w:rPr>
        <w:t xml:space="preserve"> a formal Purchase and Sale Agreement. All other terms and conditions shall be negotiated in the formal Purchase and Sale Agreement. This letter of Intent is open for acceptance through </w:t>
      </w:r>
      <w:r w:rsidR="0090040E">
        <w:rPr>
          <w:color w:val="000000"/>
        </w:rPr>
        <w:t>{</w:t>
      </w:r>
      <w:r>
        <w:rPr>
          <w:b/>
          <w:highlight w:val="yellow"/>
        </w:rPr>
        <w:t>{</w:t>
      </w:r>
      <w:proofErr w:type="spellStart"/>
      <w:r>
        <w:rPr>
          <w:b/>
          <w:highlight w:val="yellow"/>
        </w:rPr>
        <w:t>accept</w:t>
      </w:r>
      <w:r w:rsidR="00F948CE">
        <w:rPr>
          <w:b/>
          <w:highlight w:val="yellow"/>
        </w:rPr>
        <w:t>_</w:t>
      </w:r>
      <w:proofErr w:type="gramStart"/>
      <w:r w:rsidR="00F948CE">
        <w:rPr>
          <w:b/>
          <w:highlight w:val="yellow"/>
        </w:rPr>
        <w:t>by</w:t>
      </w:r>
      <w:proofErr w:type="spellEnd"/>
      <w:r>
        <w:rPr>
          <w:b/>
          <w:highlight w:val="yellow"/>
        </w:rPr>
        <w:t>}</w:t>
      </w:r>
      <w:r w:rsidR="0090040E">
        <w:rPr>
          <w:b/>
          <w:highlight w:val="yellow"/>
        </w:rPr>
        <w:t>}</w:t>
      </w:r>
      <w:r>
        <w:rPr>
          <w:color w:val="000000"/>
          <w:highlight w:val="yellow"/>
        </w:rPr>
        <w:t>.</w:t>
      </w:r>
      <w:proofErr w:type="gramEnd"/>
    </w:p>
    <w:p w14:paraId="0F0838B7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9747DE1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150DF077" w14:textId="3BD86753" w:rsidR="002B064B" w:rsidRDefault="00000000">
      <w:pPr>
        <w:pBdr>
          <w:top w:val="nil"/>
          <w:left w:val="nil"/>
          <w:bottom w:val="nil"/>
          <w:right w:val="nil"/>
          <w:between w:val="nil"/>
        </w:pBdr>
        <w:ind w:left="459"/>
        <w:jc w:val="both"/>
        <w:rPr>
          <w:color w:val="000000"/>
        </w:rPr>
      </w:pPr>
      <w:r>
        <w:rPr>
          <w:color w:val="000000"/>
        </w:rPr>
        <w:t xml:space="preserve">PURCHASER: </w:t>
      </w:r>
      <w:r w:rsidR="0090040E">
        <w:rPr>
          <w:b/>
        </w:rPr>
        <w:t>{</w:t>
      </w:r>
      <w:r w:rsidR="0090040E">
        <w:rPr>
          <w:highlight w:val="yellow"/>
        </w:rPr>
        <w:t>{</w:t>
      </w:r>
      <w:proofErr w:type="spellStart"/>
      <w:r w:rsidR="0090040E">
        <w:rPr>
          <w:highlight w:val="yellow"/>
        </w:rPr>
        <w:t>buyer_entity</w:t>
      </w:r>
      <w:proofErr w:type="spellEnd"/>
      <w:r w:rsidR="0090040E">
        <w:rPr>
          <w:highlight w:val="yellow"/>
        </w:rPr>
        <w:t>}</w:t>
      </w:r>
      <w:r w:rsidR="0090040E">
        <w:t>}</w:t>
      </w:r>
    </w:p>
    <w:p w14:paraId="52CEC2E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17B7D6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F4751E" w14:textId="77777777" w:rsidR="002B064B" w:rsidRDefault="00000000">
      <w:pPr>
        <w:tabs>
          <w:tab w:val="left" w:pos="1213"/>
          <w:tab w:val="left" w:pos="4241"/>
          <w:tab w:val="left" w:pos="5048"/>
          <w:tab w:val="left" w:pos="7395"/>
        </w:tabs>
        <w:spacing w:before="200" w:line="480" w:lineRule="auto"/>
        <w:ind w:left="458"/>
        <w:jc w:val="both"/>
        <w:rPr>
          <w:rFonts w:ascii="Arial" w:eastAsia="Arial" w:hAnsi="Arial" w:cs="Arial"/>
          <w:sz w:val="14"/>
          <w:szCs w:val="14"/>
        </w:rPr>
        <w:sectPr w:rsidR="002B064B">
          <w:footerReference w:type="default" r:id="rId6"/>
          <w:pgSz w:w="12240" w:h="15840"/>
          <w:pgMar w:top="662" w:right="1584" w:bottom="965" w:left="1584" w:header="0" w:footer="778" w:gutter="0"/>
          <w:pgNumType w:start="1"/>
          <w:cols w:space="720"/>
        </w:sectPr>
      </w:pPr>
      <w:r>
        <w:t>By: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>
        <w:t>Date:_</w:t>
      </w:r>
      <w:proofErr w:type="gramEnd"/>
      <w:r>
        <w:t>___________</w:t>
      </w:r>
    </w:p>
    <w:p w14:paraId="6E3DDAB6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459"/>
        <w:rPr>
          <w:color w:val="000000"/>
        </w:rPr>
      </w:pPr>
      <w:r>
        <w:rPr>
          <w:color w:val="000000"/>
        </w:rPr>
        <w:t>Name:</w:t>
      </w:r>
    </w:p>
    <w:p w14:paraId="55FC57A6" w14:textId="77777777" w:rsidR="002B064B" w:rsidRDefault="00000000">
      <w:pPr>
        <w:tabs>
          <w:tab w:val="left" w:pos="3149"/>
        </w:tabs>
        <w:spacing w:before="67" w:line="360" w:lineRule="auto"/>
        <w:ind w:left="69"/>
        <w:rPr>
          <w:rFonts w:ascii="Arial" w:eastAsia="Arial" w:hAnsi="Arial" w:cs="Arial"/>
          <w:sz w:val="16"/>
          <w:szCs w:val="16"/>
        </w:rPr>
        <w:sectPr w:rsidR="002B064B">
          <w:type w:val="continuous"/>
          <w:pgSz w:w="12240" w:h="15840"/>
          <w:pgMar w:top="1180" w:right="1720" w:bottom="960" w:left="1720" w:header="720" w:footer="720" w:gutter="0"/>
          <w:cols w:num="2" w:space="720" w:equalWidth="0">
            <w:col w:w="4380" w:space="40"/>
            <w:col w:w="4380" w:space="0"/>
          </w:cols>
        </w:sectPr>
      </w:pPr>
      <w:r>
        <w:br w:type="column"/>
      </w:r>
      <w:r>
        <w:rPr>
          <w:rFonts w:ascii="Arial" w:eastAsia="Arial" w:hAnsi="Arial" w:cs="Arial"/>
          <w:color w:val="010101"/>
          <w:sz w:val="16"/>
          <w:szCs w:val="16"/>
          <w:u w:val="single"/>
        </w:rPr>
        <w:t xml:space="preserve">  </w:t>
      </w:r>
      <w:r>
        <w:rPr>
          <w:rFonts w:ascii="Arial" w:eastAsia="Arial" w:hAnsi="Arial" w:cs="Arial"/>
          <w:color w:val="010101"/>
          <w:sz w:val="16"/>
          <w:szCs w:val="16"/>
          <w:u w:val="single"/>
        </w:rPr>
        <w:tab/>
      </w:r>
    </w:p>
    <w:p w14:paraId="4CBB6BE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D2816C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15FF76B0" w14:textId="77777777" w:rsidR="002B064B" w:rsidRDefault="00000000">
      <w:pPr>
        <w:spacing w:before="91"/>
        <w:ind w:left="459"/>
        <w:rPr>
          <w:b/>
          <w:i/>
        </w:rPr>
      </w:pPr>
      <w:r>
        <w:rPr>
          <w:b/>
          <w:i/>
          <w:u w:val="single"/>
        </w:rPr>
        <w:t>Agreed and Accepted:</w:t>
      </w:r>
    </w:p>
    <w:p w14:paraId="04790AF8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32A6751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</w:p>
    <w:p w14:paraId="36E667D1" w14:textId="3511CE33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ind w:left="459"/>
        <w:rPr>
          <w:color w:val="000000"/>
        </w:rPr>
      </w:pPr>
      <w:proofErr w:type="gramStart"/>
      <w:r>
        <w:rPr>
          <w:color w:val="000000"/>
        </w:rPr>
        <w:t xml:space="preserve">SELLER: </w:t>
      </w:r>
      <w:r w:rsidR="00F948CE">
        <w:rPr>
          <w:color w:val="000000"/>
        </w:rPr>
        <w:t>{</w:t>
      </w:r>
      <w:r>
        <w:rPr>
          <w:highlight w:val="yellow"/>
        </w:rPr>
        <w:t>{</w:t>
      </w:r>
      <w:proofErr w:type="spellStart"/>
      <w:proofErr w:type="gramEnd"/>
      <w:r>
        <w:rPr>
          <w:highlight w:val="yellow"/>
        </w:rPr>
        <w:t>owner</w:t>
      </w:r>
      <w:r w:rsidR="00F948CE">
        <w:rPr>
          <w:highlight w:val="yellow"/>
        </w:rPr>
        <w:t>_name</w:t>
      </w:r>
      <w:proofErr w:type="spellEnd"/>
      <w:r>
        <w:rPr>
          <w:highlight w:val="yellow"/>
        </w:rPr>
        <w:t>}</w:t>
      </w:r>
      <w:r w:rsidR="00F948CE">
        <w:t>}</w:t>
      </w:r>
    </w:p>
    <w:p w14:paraId="402997D0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B1ED11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E06B3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  <w:sectPr w:rsidR="002B064B">
          <w:type w:val="continuous"/>
          <w:pgSz w:w="12240" w:h="15840"/>
          <w:pgMar w:top="1180" w:right="1720" w:bottom="960" w:left="1720" w:header="720" w:footer="720" w:gutter="0"/>
          <w:cols w:space="720"/>
        </w:sectPr>
      </w:pPr>
    </w:p>
    <w:p w14:paraId="367EB045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18"/>
          <w:tab w:val="left" w:pos="4073"/>
        </w:tabs>
        <w:spacing w:before="92" w:line="360" w:lineRule="auto"/>
        <w:ind w:left="459" w:right="38" w:hanging="1"/>
        <w:jc w:val="both"/>
        <w:rPr>
          <w:color w:val="000000"/>
        </w:rPr>
      </w:pPr>
      <w:r>
        <w:rPr>
          <w:color w:val="000000"/>
        </w:rPr>
        <w:t>By:  _______________________________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Date:_</w:t>
      </w:r>
      <w:proofErr w:type="gramEnd"/>
      <w:r>
        <w:rPr>
          <w:color w:val="000000"/>
        </w:rPr>
        <w:t>___________</w:t>
      </w:r>
    </w:p>
    <w:p w14:paraId="353D07E1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18"/>
          <w:tab w:val="left" w:pos="4073"/>
        </w:tabs>
        <w:spacing w:before="92"/>
        <w:ind w:left="459" w:right="38" w:hanging="1"/>
        <w:jc w:val="both"/>
        <w:rPr>
          <w:color w:val="000000"/>
        </w:rPr>
      </w:pPr>
      <w:r>
        <w:rPr>
          <w:color w:val="000000"/>
        </w:rPr>
        <w:t>Name: _____________________________</w:t>
      </w:r>
    </w:p>
    <w:p w14:paraId="01642127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18"/>
          <w:tab w:val="left" w:pos="4073"/>
        </w:tabs>
        <w:spacing w:before="92"/>
        <w:ind w:left="459" w:right="38" w:hanging="1"/>
        <w:jc w:val="both"/>
        <w:rPr>
          <w:color w:val="000000"/>
        </w:rPr>
      </w:pPr>
      <w:r>
        <w:rPr>
          <w:color w:val="000000"/>
        </w:rPr>
        <w:t>Title: ______________________________</w:t>
      </w:r>
    </w:p>
    <w:p w14:paraId="7958838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160"/>
        <w:jc w:val="both"/>
        <w:rPr>
          <w:color w:val="000000"/>
        </w:rPr>
        <w:sectPr w:rsidR="002B064B">
          <w:footerReference w:type="default" r:id="rId7"/>
          <w:type w:val="continuous"/>
          <w:pgSz w:w="12240" w:h="15840"/>
          <w:pgMar w:top="1180" w:right="1720" w:bottom="960" w:left="1720" w:header="720" w:footer="774" w:gutter="0"/>
          <w:pgNumType w:start="1"/>
          <w:cols w:space="720"/>
        </w:sectPr>
      </w:pPr>
    </w:p>
    <w:p w14:paraId="53BB7C68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95"/>
        </w:tabs>
        <w:spacing w:before="92"/>
        <w:rPr>
          <w:color w:val="000000"/>
        </w:rPr>
      </w:pPr>
    </w:p>
    <w:sectPr w:rsidR="002B064B">
      <w:type w:val="continuous"/>
      <w:pgSz w:w="12240" w:h="15840"/>
      <w:pgMar w:top="1180" w:right="1720" w:bottom="960" w:left="1720" w:header="720" w:footer="720" w:gutter="0"/>
      <w:cols w:num="2" w:space="720" w:equalWidth="0">
        <w:col w:w="4202" w:space="396"/>
        <w:col w:w="420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9A6C4" w14:textId="77777777" w:rsidR="00261483" w:rsidRDefault="00261483">
      <w:r>
        <w:separator/>
      </w:r>
    </w:p>
  </w:endnote>
  <w:endnote w:type="continuationSeparator" w:id="0">
    <w:p w14:paraId="45AF4355" w14:textId="77777777" w:rsidR="00261483" w:rsidRDefault="0026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621E" w14:textId="77777777" w:rsidR="002B064B" w:rsidRDefault="002B06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D4107" w14:textId="77777777" w:rsidR="002B064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03A9122" wp14:editId="11DEA710">
              <wp:simplePos x="0" y="0"/>
              <wp:positionH relativeFrom="column">
                <wp:posOffset>2717800</wp:posOffset>
              </wp:positionH>
              <wp:positionV relativeFrom="paragraph">
                <wp:posOffset>9410700</wp:posOffset>
              </wp:positionV>
              <wp:extent cx="171450" cy="20828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038" y="3680623"/>
                        <a:ext cx="1619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BBBEE5" w14:textId="77777777" w:rsidR="002B064B" w:rsidRDefault="00000000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Georgia" w:eastAsia="Georgia" w:hAnsi="Georgia" w:cs="Georgia"/>
                              <w:color w:val="00000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2717800</wp:posOffset>
              </wp:positionH>
              <wp:positionV relativeFrom="paragraph">
                <wp:posOffset>9410700</wp:posOffset>
              </wp:positionV>
              <wp:extent cx="171450" cy="2082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208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5AE7C" w14:textId="77777777" w:rsidR="00261483" w:rsidRDefault="00261483">
      <w:r>
        <w:separator/>
      </w:r>
    </w:p>
  </w:footnote>
  <w:footnote w:type="continuationSeparator" w:id="0">
    <w:p w14:paraId="607EAD7F" w14:textId="77777777" w:rsidR="00261483" w:rsidRDefault="00261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4B"/>
    <w:rsid w:val="00201C67"/>
    <w:rsid w:val="00261483"/>
    <w:rsid w:val="002B064B"/>
    <w:rsid w:val="0090040E"/>
    <w:rsid w:val="00C40CD4"/>
    <w:rsid w:val="00D603D1"/>
    <w:rsid w:val="00F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C28B"/>
  <w15:docId w15:val="{49CA90E5-3B55-49E4-B49E-26AC2D08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4"/>
      <w:ind w:left="459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sedative .</cp:lastModifiedBy>
  <cp:revision>3</cp:revision>
  <dcterms:created xsi:type="dcterms:W3CDTF">2025-08-21T00:52:00Z</dcterms:created>
  <dcterms:modified xsi:type="dcterms:W3CDTF">2025-08-21T01:11:00Z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2019-08-23T00:00:00Z</vt:lpwstr>
  </property>
  <property fmtid="{D5CDD505-2E9C-101B-9397-08002B2CF9AE}" pid="3" name="Creator">
    <vt:lpwstr>Word</vt:lpwstr>
  </property>
  <property fmtid="{D5CDD505-2E9C-101B-9397-08002B2CF9AE}" pid="4" name="LastSaved">
    <vt:lpwstr>2019-12-04T00:00:00Z</vt:lpwstr>
  </property>
</Properties>
</file>