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5C1C" w14:textId="42718DA4" w:rsidR="002D6101" w:rsidRDefault="002D6101" w:rsidP="002D6101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S1</w:t>
      </w:r>
      <w:r>
        <w:rPr>
          <w:b/>
          <w:smallCaps/>
          <w:sz w:val="28"/>
        </w:rPr>
        <w:t>1</w:t>
      </w:r>
      <w:r>
        <w:rPr>
          <w:b/>
          <w:smallCaps/>
          <w:sz w:val="28"/>
        </w:rPr>
        <w:t xml:space="preserve">: </w:t>
      </w:r>
      <w:r>
        <w:rPr>
          <w:b/>
          <w:smallCaps/>
          <w:sz w:val="28"/>
        </w:rPr>
        <w:t xml:space="preserve">Policy Impact prioritisation matrix </w:t>
      </w:r>
    </w:p>
    <w:p w14:paraId="1953B269" w14:textId="49BDA596" w:rsidR="002D6101" w:rsidRDefault="002D6101" w:rsidP="002D6101">
      <w:pPr>
        <w:rPr>
          <w:b/>
          <w:smallCaps/>
          <w:sz w:val="28"/>
        </w:rPr>
      </w:pPr>
      <w:r>
        <w:rPr>
          <w:b/>
          <w:smallCaps/>
          <w:noProof/>
          <w:sz w:val="28"/>
        </w:rPr>
        <w:drawing>
          <wp:inline distT="0" distB="0" distL="0" distR="0" wp14:anchorId="6EBA56C5" wp14:editId="017D94AF">
            <wp:extent cx="5731510" cy="409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530" w14:textId="3DC8BB88" w:rsidR="002D6101" w:rsidRDefault="002D6101" w:rsidP="002D6101">
      <w:pPr>
        <w:rPr>
          <w:b/>
          <w:smallCaps/>
          <w:sz w:val="28"/>
        </w:rPr>
      </w:pPr>
      <w:r>
        <w:t>Policy impact matrix for maternal health intervention prioritisation based on policy importance (x-axis) and cost impact (y-axis). Bubble size represents outcome prevalence. Maternal mortality and stillbirth positioned as critical/high priority requiring immediate intervention despite high cost impact. Gestational diabetes and other conditions positioned as medium priority enaling strategic resource allocation decisions.</w:t>
      </w:r>
    </w:p>
    <w:p w14:paraId="18D24532" w14:textId="77777777" w:rsidR="00B63CDA" w:rsidRDefault="00B63CDA"/>
    <w:sectPr w:rsidR="00B6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01"/>
    <w:rsid w:val="002D6101"/>
    <w:rsid w:val="00503C84"/>
    <w:rsid w:val="00B63CDA"/>
    <w:rsid w:val="00BB6060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52E5"/>
  <w15:chartTrackingRefBased/>
  <w15:docId w15:val="{FAD37454-9E8E-4BE5-BCA1-0123BB54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2025-08-15T04:44:00Z</dcterms:created>
  <dcterms:modified xsi:type="dcterms:W3CDTF">2025-08-15T04:52:00Z</dcterms:modified>
</cp:coreProperties>
</file>