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047F" w14:textId="74648997" w:rsidR="004C7F96" w:rsidRDefault="004C7F96" w:rsidP="004C7F96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S1</w:t>
      </w:r>
      <w:r>
        <w:rPr>
          <w:b/>
          <w:smallCaps/>
          <w:sz w:val="28"/>
        </w:rPr>
        <w:t>2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 xml:space="preserve">Complete Thesis analysis overview </w:t>
      </w:r>
    </w:p>
    <w:p w14:paraId="4A22F1D4" w14:textId="230726D0" w:rsidR="00B63CDA" w:rsidRDefault="00B63CDA"/>
    <w:p w14:paraId="6468D0C7" w14:textId="11FE562A" w:rsidR="004C7F96" w:rsidRDefault="004C7F96">
      <w:r>
        <w:rPr>
          <w:noProof/>
        </w:rPr>
        <w:drawing>
          <wp:inline distT="0" distB="0" distL="0" distR="0" wp14:anchorId="653C4ABE" wp14:editId="6FEEDA2F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99DE" w14:textId="64799C47" w:rsidR="004C7F96" w:rsidRDefault="004C7F96">
      <w:r>
        <w:t>Comprehensive thesis analysis overview showing rates across nine maternal health outcomes analysed. Multi-outcome focus addressing full spectrum of maternal health (8,000 patients, NHS MSDS 2019-2025). Total case analysis: 2,405 across all outcomes with 45 rare events and 2,360 common outcomes. Demonstrates scope of comprehensive analytical approach beyond traditional single-outcome studies.</w:t>
      </w:r>
    </w:p>
    <w:sectPr w:rsidR="004C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96"/>
    <w:rsid w:val="004C7F96"/>
    <w:rsid w:val="00503C84"/>
    <w:rsid w:val="00B63CDA"/>
    <w:rsid w:val="00BB6060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1EFF"/>
  <w15:chartTrackingRefBased/>
  <w15:docId w15:val="{02F3B371-B235-49FC-A452-C30EA13A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2025-08-15T04:52:00Z</dcterms:created>
  <dcterms:modified xsi:type="dcterms:W3CDTF">2025-08-15T04:59:00Z</dcterms:modified>
</cp:coreProperties>
</file>