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557A" w14:textId="77777777" w:rsidR="00A94DFB" w:rsidRDefault="00A94DFB" w:rsidP="00A94DFB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5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>Complete age-specific model validation</w:t>
      </w:r>
    </w:p>
    <w:p w14:paraId="3551DC21" w14:textId="19C80B4F" w:rsidR="00B63CDA" w:rsidRDefault="00A94DFB">
      <w:r>
        <w:rPr>
          <w:noProof/>
        </w:rPr>
        <w:drawing>
          <wp:inline distT="0" distB="0" distL="0" distR="0" wp14:anchorId="690D81F0" wp14:editId="6E750184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2577" w14:textId="199862C9" w:rsidR="00A94DFB" w:rsidRDefault="00A94DFB">
      <w:r>
        <w:t xml:space="preserve">Model validation against UK reference rates across all six maternal age </w:t>
      </w:r>
      <w:proofErr w:type="spellStart"/>
      <w:proofErr w:type="gramStart"/>
      <w:r>
        <w:t>groups.Blue</w:t>
      </w:r>
      <w:proofErr w:type="spellEnd"/>
      <w:proofErr w:type="gramEnd"/>
      <w:r>
        <w:t xml:space="preserve"> bars represent authentic UK stillbirth rates; red diamonds show model prediction. Demonstrates realistic U-shaped age pattern with excellent alignment for primary childbearing years (25-34). Sample sizes shown for each age group (total n=8,000). Validation quality indicators: Acceptable (orange), Good (yellow), Needs improvement (red).</w:t>
      </w:r>
    </w:p>
    <w:sectPr w:rsidR="00A9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B"/>
    <w:rsid w:val="00503C84"/>
    <w:rsid w:val="00A94DFB"/>
    <w:rsid w:val="00B63CDA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CA6"/>
  <w15:chartTrackingRefBased/>
  <w15:docId w15:val="{B8C67C97-CF22-4635-8759-3B0FAA65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2025-08-15T04:06:00Z</dcterms:created>
  <dcterms:modified xsi:type="dcterms:W3CDTF">2025-08-15T04:11:00Z</dcterms:modified>
</cp:coreProperties>
</file>