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8DD8" w14:textId="5B63E6BB" w:rsidR="008B35FD" w:rsidRDefault="008B35FD" w:rsidP="008B35FD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7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 xml:space="preserve">Cost-effectiveness analysis framework </w:t>
      </w:r>
    </w:p>
    <w:p w14:paraId="22976ED3" w14:textId="7A34731D" w:rsidR="008B35FD" w:rsidRDefault="008B35FD" w:rsidP="008B35FD">
      <w:pPr>
        <w:rPr>
          <w:b/>
          <w:smallCaps/>
          <w:sz w:val="28"/>
        </w:rPr>
      </w:pPr>
      <w:r>
        <w:rPr>
          <w:b/>
          <w:smallCaps/>
          <w:sz w:val="28"/>
        </w:rPr>
        <w:t>economic evaluation relative to nice thresholds</w:t>
      </w:r>
    </w:p>
    <w:p w14:paraId="4931291A" w14:textId="0A79EC3D" w:rsidR="008B35FD" w:rsidRDefault="008B35FD" w:rsidP="008B35FD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5B2F18FB" wp14:editId="619ACB66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8E05" w14:textId="2692E9E2" w:rsidR="008B35FD" w:rsidRDefault="008B35FD" w:rsidP="008B35FD">
      <w:pPr>
        <w:rPr>
          <w:b/>
          <w:smallCaps/>
          <w:sz w:val="28"/>
        </w:rPr>
      </w:pPr>
      <w:r>
        <w:t>Cost-effectiveness analysis maternal health interventions positioned relative to NICE cost-effectiveness thresholds (£20k/QALY and £30k/QALY lines). Lower left quadrant indicates most cost-effective interventions. Stillbirth comprehensive interventions show high impact but exceed cost-effectiveness thresholds. Continuity boost for postpartum depression demonstrates optimal cost-effectiveness profile.</w:t>
      </w:r>
    </w:p>
    <w:p w14:paraId="169CED23" w14:textId="77777777" w:rsidR="00B63CDA" w:rsidRDefault="00B63CDA"/>
    <w:sectPr w:rsidR="00B6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D"/>
    <w:rsid w:val="00503C84"/>
    <w:rsid w:val="008B35FD"/>
    <w:rsid w:val="00B63CDA"/>
    <w:rsid w:val="00BB606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7009"/>
  <w15:chartTrackingRefBased/>
  <w15:docId w15:val="{D406F85D-1B4F-4493-BB3C-210EE2DC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2025-08-15T04:17:00Z</dcterms:created>
  <dcterms:modified xsi:type="dcterms:W3CDTF">2025-08-15T04:23:00Z</dcterms:modified>
</cp:coreProperties>
</file>