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3549" w14:textId="2B36CED3" w:rsidR="00C958E5" w:rsidRDefault="00C958E5" w:rsidP="00C958E5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8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 xml:space="preserve">NET Monetary benefit analysis </w:t>
      </w:r>
    </w:p>
    <w:p w14:paraId="70A940ED" w14:textId="68C2EFDA" w:rsidR="00C958E5" w:rsidRDefault="00C958E5" w:rsidP="00C958E5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7A5D7F90" wp14:editId="74F7FD72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7EB3" w14:textId="4662ECF9" w:rsidR="00C958E5" w:rsidRDefault="00C958E5" w:rsidP="00C958E5">
      <w:pPr>
        <w:rPr>
          <w:b/>
          <w:smallCaps/>
          <w:sz w:val="28"/>
        </w:rPr>
      </w:pPr>
      <w:r>
        <w:t>Net monetary benefit of maternal health interventions at £20k/QALY and £30k/QALY threshold. Positive values indicate cost-effective interventions. Most interventions show negative net benefit at £20k/QALY threshold but several become cost-effective at £30k/QALY. Language for postpartum depression consistently shows positive net monetary benefit. NMB = (QALY gain * threshold) - intervention</w:t>
      </w:r>
    </w:p>
    <w:p w14:paraId="6ECA79CC" w14:textId="77777777" w:rsidR="00B63CDA" w:rsidRDefault="00B63CDA"/>
    <w:sectPr w:rsidR="00B6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E5"/>
    <w:rsid w:val="00503C84"/>
    <w:rsid w:val="00B63CDA"/>
    <w:rsid w:val="00BB6060"/>
    <w:rsid w:val="00C958E5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912A"/>
  <w15:chartTrackingRefBased/>
  <w15:docId w15:val="{188B54B2-8C36-44C6-9A5B-0098763F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2025-08-15T04:23:00Z</dcterms:created>
  <dcterms:modified xsi:type="dcterms:W3CDTF">2025-08-15T04:30:00Z</dcterms:modified>
</cp:coreProperties>
</file>