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B4D3E"/>
          <w:sz w:val="48"/>
          <w:szCs w:val="48"/>
        </w:rPr>
        <w:t xml:space="preserve">LADYBIRD EVER AFTER</w:t>
      </w:r>
    </w:p>
    <w:p>
      <w:pPr>
        <w:spacing w:after="60"/>
        <w:jc w:val="center"/>
      </w:pPr>
      <w:r>
        <w:rPr>
          <w:rFonts w:ascii="Arial" w:cs="Arial" w:eastAsia="Arial" w:hAnsi="Arial"/>
          <w:color w:val="555555"/>
          <w:sz w:val="32"/>
          <w:szCs w:val="32"/>
        </w:rPr>
        <w:t xml:space="preserve">Inquiry &amp; Performance Deep Dive</w:t>
      </w:r>
    </w:p>
    <w:p>
      <w:pPr>
        <w:spacing w:after="60"/>
        <w:jc w:val="center"/>
      </w:pPr>
      <w:r>
        <w:rPr>
          <w:rFonts w:ascii="Arial" w:cs="Arial" w:eastAsia="Arial" w:hAnsi="Arial"/>
          <w:color w:val="777777"/>
          <w:sz w:val="22"/>
          <w:szCs w:val="22"/>
        </w:rPr>
        <w:t xml:space="preserve">830 Inquiries  ·  March 2025 – March 2026  ·  74 Won Deals</w:t>
      </w:r>
    </w:p>
    <w:p>
      <w:pPr>
        <w:spacing w:after="400"/>
        <w:jc w:val="center"/>
      </w:pPr>
      <w:r>
        <w:rPr>
          <w:rFonts w:ascii="Arial" w:cs="Arial" w:eastAsia="Arial" w:hAnsi="Arial"/>
          <w:color w:val="999999"/>
          <w:sz w:val="20"/>
          <w:szCs w:val="20"/>
        </w:rPr>
        <w:t xml:space="preserve">Confidential  ·  March 2026</w:t>
      </w:r>
    </w:p>
    <w:p>
      <w:pPr>
        <w:pBdr>
          <w:bottom w:val="single" w:color="DDDDDD" w:sz="2" w:space="1"/>
        </w:pBdr>
        <w:spacing w:after="200" w:before="200"/>
      </w:pPr>
    </w:p>
    <w:p>
      <w:pPr>
        <w:spacing w:after="200"/>
      </w:pPr>
    </w:p>
    <w:p>
      <w:pPr>
        <w:pStyle w:val="Heading1"/>
      </w:pPr>
      <w:r>
        <w:t xml:space="preserve">Executive Summary</w:t>
      </w:r>
    </w:p>
    <w:p>
      <w:pPr>
        <w:spacing w:after="120" w:line="300"/>
      </w:pPr>
      <w:r>
        <w:rPr>
          <w:rFonts w:ascii="Arial" w:cs="Arial" w:eastAsia="Arial" w:hAnsi="Arial"/>
          <w:sz w:val="22"/>
          <w:szCs w:val="22"/>
        </w:rPr>
        <w:t xml:space="preserve">This report analyzes 830 real inquiries received by Ladybird Ever After between March 2025 and March 2026, covering the December 3rd pricing restructure, the introduction of RíRá, and the proposed 16-month wedding date policy. The data reveals five critical findings that should inform immediate business decisions.</w:t>
      </w:r>
    </w:p>
    <w:p>
      <w:pPr>
        <w:spacing w:after="200"/>
      </w:pP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8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Total inquiries (12 months)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830</w:t>
            </w:r>
          </w:p>
        </w:tc>
      </w:tr>
      <w:tr>
        <w:tc>
          <w:tcPr>
            <w:tcW w:type="dxa" w:w="5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Got on a discovery call</w:t>
            </w:r>
          </w:p>
        </w:tc>
        <w:tc>
          <w:tcPr>
            <w:tcW w:type="dxa" w:w="3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224 (27%)</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Won deals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74 (8.9% of all inquiries)</w:t>
            </w:r>
          </w:p>
        </w:tc>
      </w:tr>
      <w:tr>
        <w:tc>
          <w:tcPr>
            <w:tcW w:type="dxa" w:w="5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Call-to-win conversion</w:t>
            </w:r>
          </w:p>
        </w:tc>
        <w:tc>
          <w:tcPr>
            <w:tcW w:type="dxa" w:w="3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33%</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Total won revenue (quoted deals)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$534,958</w:t>
            </w:r>
          </w:p>
        </w:tc>
      </w:tr>
      <w:tr>
        <w:tc>
          <w:tcPr>
            <w:tcW w:type="dxa" w:w="5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Average won deal value</w:t>
            </w:r>
          </w:p>
        </w:tc>
        <w:tc>
          <w:tcPr>
            <w:tcW w:type="dxa" w:w="3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$7,397</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Monthly revenue run-rate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~$44,580</w:t>
            </w:r>
          </w:p>
        </w:tc>
      </w:tr>
    </w:tbl>
    <w:p>
      <w:pPr>
        <w:spacing w:after="200"/>
      </w:pPr>
    </w:p>
    <w:p>
      <w:r>
        <w:br w:type="page"/>
      </w:r>
    </w:p>
    <w:p>
      <w:pPr>
        <w:pStyle w:val="Heading1"/>
      </w:pPr>
      <w:r>
        <w:t xml:space="preserve">Finding 1: The Dec 3rd Price Increase Is Compressing Close Rates</w:t>
      </w:r>
    </w:p>
    <w:p>
      <w:pPr>
        <w:spacing w:after="120" w:line="300"/>
      </w:pPr>
      <w:r>
        <w:rPr>
          <w:rFonts w:ascii="Arial" w:cs="Arial" w:eastAsia="Arial" w:hAnsi="Arial"/>
          <w:sz w:val="22"/>
          <w:szCs w:val="22"/>
        </w:rPr>
        <w:t xml:space="preserve">The December 3rd pricing change raised quoted amounts significantly across Grá and Ard. Revenue per deal increased, but close rates have dropped materially. Total monthly revenue is roughly flat at ~$45,000 — not growing.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18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Pre-Dec Median Quote</w:t>
            </w:r>
          </w:p>
        </w:tc>
        <w:tc>
          <w:tcPr>
            <w:tcW w:type="dxa" w:w="18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Post-Dec Median Quote</w:t>
            </w:r>
          </w:p>
        </w:tc>
        <w:tc>
          <w:tcPr>
            <w:tcW w:type="dxa" w:w="18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Pre Close Rate</w:t>
            </w:r>
          </w:p>
        </w:tc>
        <w:tc>
          <w:tcPr>
            <w:tcW w:type="dxa" w:w="18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Post Close 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Grá (Love)</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$5,650</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$7,300</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43%</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26%</w:t>
            </w:r>
          </w:p>
        </w:tc>
      </w:tr>
      <w:tr>
        <w:tc>
          <w:tcPr>
            <w:tcW w:type="dxa" w:w="20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Ard (Royalty)</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$9,100</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$12,200</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33%</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Sláinte (Good Health)</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$6,750</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(small sample)</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40%</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50%</w:t>
            </w:r>
          </w:p>
        </w:tc>
      </w:tr>
      <w:tr>
        <w:tc>
          <w:tcPr>
            <w:tcW w:type="dxa" w:w="20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Fáilte (Welcome)</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$4,900</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$4,900</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27%</w:t>
            </w:r>
          </w:p>
        </w:tc>
        <w:tc>
          <w:tcPr>
            <w:tcW w:type="dxa" w:w="18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30%</w:t>
            </w:r>
          </w:p>
        </w:tc>
      </w:tr>
    </w:tbl>
    <w:p>
      <w:pPr>
        <w:spacing w:after="200"/>
      </w:pPr>
    </w:p>
    <w:p>
      <w:pPr>
        <w:spacing w:after="120" w:line="300"/>
      </w:pPr>
      <w:r>
        <w:rPr>
          <w:rFonts w:ascii="Arial" w:cs="Arial" w:eastAsia="Arial" w:hAnsi="Arial"/>
          <w:sz w:val="22"/>
          <w:szCs w:val="22"/>
        </w:rPr>
        <w:t xml:space="preserve">Grá jumped approximately 29% in price (median $5,650 to $7,300). The close rate dropped from 43% to 26%. Pre-December, Grá generated 12 wins from 28 proposals. At the post-December rate, the same 28 proposals would produce only 7 wins.</w:t>
      </w:r>
    </w:p>
    <w:p>
      <w:pPr>
        <w:spacing w:after="120" w:line="300"/>
      </w:pPr>
      <w:r>
        <w:rPr>
          <w:rFonts w:ascii="Arial" w:cs="Arial" w:eastAsia="Arial" w:hAnsi="Arial"/>
          <w:sz w:val="22"/>
          <w:szCs w:val="22"/>
        </w:rPr>
        <w:t xml:space="preserve">Ard jumped approximately 34% in price (median $9,100 to $12,200). Close rate dropped from 33% to 20%. Pre-December, Ard was your highest-volume won package with 20 wins. Post-December, only 3 wins from 15 proposals.</w:t>
      </w:r>
    </w:p>
    <w:p>
      <w:pPr>
        <w:spacing w:after="120" w:line="300"/>
      </w:pPr>
      <w:r>
        <w:rPr>
          <w:rFonts w:ascii="Arial" w:cs="Arial" w:eastAsia="Arial" w:hAnsi="Arial"/>
          <w:b/>
          <w:bCs/>
          <w:sz w:val="22"/>
          <w:szCs w:val="22"/>
        </w:rPr>
        <w:t xml:space="preserve">The good news: </w:t>
      </w:r>
      <w:r>
        <w:rPr>
          <w:rFonts w:ascii="Arial" w:cs="Arial" w:eastAsia="Arial" w:hAnsi="Arial"/>
          <w:sz w:val="22"/>
          <w:szCs w:val="22"/>
        </w:rPr>
        <w:t xml:space="preserve">monthly revenue held steady because average deal values increased. But winning fewer couples at higher prices means fewer referrals, fewer reviews, and a thinner pipeline over time.</w:t>
      </w:r>
    </w:p>
    <w:p>
      <w:pPr>
        <w:spacing w:after="120" w:line="300"/>
      </w:pPr>
      <w:r>
        <w:rPr>
          <w:rFonts w:ascii="Arial" w:cs="Arial" w:eastAsia="Arial" w:hAnsi="Arial"/>
          <w:b/>
          <w:bCs/>
          <w:sz w:val="22"/>
          <w:szCs w:val="22"/>
        </w:rPr>
        <w:t xml:space="preserve">The risk: </w:t>
      </w:r>
      <w:r>
        <w:rPr>
          <w:rFonts w:ascii="Arial" w:cs="Arial" w:eastAsia="Arial" w:hAnsi="Arial"/>
          <w:sz w:val="22"/>
          <w:szCs w:val="22"/>
        </w:rPr>
        <w:t xml:space="preserve">the strategy document projected Sláinte at a 75% close rate — the actual rate across 36 proposals is 42%. Strong, but the projection was optimistic. If Grá and Ard close rates do not recover, the pricing change will cost volume without growing revenue.</w:t>
      </w:r>
    </w:p>
    <w:p>
      <w:pPr>
        <w:spacing w:after="200"/>
      </w:pPr>
    </w:p>
    <w:p>
      <w:r>
        <w:br w:type="page"/>
      </w:r>
    </w:p>
    <w:p>
      <w:pPr>
        <w:pStyle w:val="Heading1"/>
      </w:pPr>
      <w:r>
        <w:t xml:space="preserve">Finding 2: The 16-Month Policy Would Cut 30% of Won Revenue</w:t>
      </w:r>
    </w:p>
    <w:p>
      <w:pPr>
        <w:spacing w:after="120" w:line="300"/>
      </w:pPr>
      <w:r>
        <w:rPr>
          <w:rFonts w:ascii="Arial" w:cs="Arial" w:eastAsia="Arial" w:hAnsi="Arial"/>
          <w:sz w:val="22"/>
          <w:szCs w:val="22"/>
        </w:rPr>
        <w:t xml:space="preserve">This is the most consequential policy finding in the dataset. A 16-month cutoff would have eliminated 18 of your 74 won deals and $163,858 in revenue — 30.6% of your total.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Cutoff</w:t>
            </w:r>
          </w:p>
        </w:tc>
        <w:tc>
          <w:tcPr>
            <w:tcW w:type="dxa" w:w="23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Won Deals Captured</w:t>
            </w:r>
          </w:p>
        </w:tc>
        <w:tc>
          <w:tcPr>
            <w:tcW w:type="dxa" w:w="23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Revenue Captured</w:t>
            </w:r>
          </w:p>
        </w:tc>
        <w:tc>
          <w:tcPr>
            <w:tcW w:type="dxa" w:w="234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 of Total Revenue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12 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46 of 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$296,950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55.5%</w:t>
            </w:r>
          </w:p>
        </w:tc>
      </w:tr>
      <w:tr>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14 months</w:t>
            </w:r>
          </w:p>
        </w:tc>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52 of 74</w:t>
            </w:r>
          </w:p>
        </w:tc>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$338,150</w:t>
            </w:r>
          </w:p>
        </w:tc>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63.2%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16 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56 of 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$371,100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69.4%</w:t>
            </w:r>
          </w:p>
        </w:tc>
      </w:tr>
      <w:tr>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18 months</w:t>
            </w:r>
          </w:p>
        </w:tc>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61 of 74</w:t>
            </w:r>
          </w:p>
        </w:tc>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$419,558</w:t>
            </w:r>
          </w:p>
        </w:tc>
        <w:tc>
          <w:tcPr>
            <w:tcW w:type="dxa" w:w="234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78.4%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24 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70 of 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$505,458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94.5%</w:t>
            </w:r>
          </w:p>
        </w:tc>
      </w:tr>
    </w:tbl>
    <w:p>
      <w:pPr>
        <w:spacing w:after="200"/>
      </w:pPr>
    </w:p>
    <w:p>
      <w:pPr>
        <w:spacing w:after="120" w:line="300"/>
      </w:pPr>
      <w:r>
        <w:rPr>
          <w:rFonts w:ascii="Arial" w:cs="Arial" w:eastAsia="Arial" w:hAnsi="Arial"/>
          <w:sz w:val="22"/>
          <w:szCs w:val="22"/>
        </w:rPr>
        <w:t xml:space="preserve">The revenue at risk is concentrated in your most profitable packages: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Revenue at Risk (beyond 16mo)</w:t>
            </w:r>
          </w:p>
        </w:tc>
        <w:tc>
          <w:tcPr>
            <w:tcW w:type="dxa" w:w="312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 of Package Revenue Lost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Ard (Royalty)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$82,158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36.4%</w:t>
            </w:r>
          </w:p>
        </w:tc>
      </w:tr>
      <w:tr>
        <w:tc>
          <w:tcPr>
            <w:tcW w:type="dxa" w:w="312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Sláinte (Good Health)</w:t>
            </w:r>
          </w:p>
        </w:tc>
        <w:tc>
          <w:tcPr>
            <w:tcW w:type="dxa" w:w="312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$40,700</w:t>
            </w:r>
          </w:p>
        </w:tc>
        <w:tc>
          <w:tcPr>
            <w:tcW w:type="dxa" w:w="312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36.5%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RíRá (Celebration)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$16,300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100%</w:t>
            </w:r>
          </w:p>
        </w:tc>
      </w:tr>
      <w:tr>
        <w:tc>
          <w:tcPr>
            <w:tcW w:type="dxa" w:w="312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Fáilte (Welcome)</w:t>
            </w:r>
          </w:p>
        </w:tc>
        <w:tc>
          <w:tcPr>
            <w:tcW w:type="dxa" w:w="312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$10,800</w:t>
            </w:r>
          </w:p>
        </w:tc>
        <w:tc>
          <w:tcPr>
            <w:tcW w:type="dxa" w:w="312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16.9%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Grá (Love)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$7,900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7.1%</w:t>
            </w:r>
          </w:p>
        </w:tc>
      </w:tr>
    </w:tbl>
    <w:p>
      <w:pPr>
        <w:spacing w:after="200"/>
      </w:pPr>
    </w:p>
    <w:p>
      <w:pPr>
        <w:spacing w:after="120" w:line="300"/>
      </w:pPr>
      <w:r>
        <w:rPr>
          <w:rFonts w:ascii="Arial" w:cs="Arial" w:eastAsia="Arial" w:hAnsi="Arial"/>
          <w:b/>
          <w:bCs/>
          <w:sz w:val="22"/>
          <w:szCs w:val="22"/>
        </w:rPr>
        <w:t xml:space="preserve">The pattern: </w:t>
      </w:r>
      <w:r>
        <w:rPr>
          <w:rFonts w:ascii="Arial" w:cs="Arial" w:eastAsia="Arial" w:hAnsi="Arial"/>
          <w:sz w:val="22"/>
          <w:szCs w:val="22"/>
        </w:rPr>
        <w:t xml:space="preserve">bigger weddings book further out. The average won deal beyond 16 months has 22.5 guests versus 11.4 guests within 16 months. Ard and Sláinte couples planning group celebrations naturally start 18–24 months ahead. Turning them away means losing your highest-value deals.</w:t>
      </w:r>
    </w:p>
    <w:p>
      <w:pPr>
        <w:spacing w:after="120" w:line="300"/>
      </w:pPr>
      <w:r>
        <w:rPr>
          <w:rFonts w:ascii="Arial" w:cs="Arial" w:eastAsia="Arial" w:hAnsi="Arial"/>
          <w:b/>
          <w:bCs/>
          <w:sz w:val="22"/>
          <w:szCs w:val="22"/>
        </w:rPr>
        <w:t xml:space="preserve">Recommendation: </w:t>
      </w:r>
      <w:r>
        <w:rPr>
          <w:rFonts w:ascii="Arial" w:cs="Arial" w:eastAsia="Arial" w:hAnsi="Arial"/>
          <w:sz w:val="22"/>
          <w:szCs w:val="22"/>
        </w:rPr>
        <w:t xml:space="preserve">if a cutoff is needed, set it at 24 months (captures 94.5% of revenue). At minimum, 18 months (captures 78.4%). A 16-month policy would cost roughly $164,000 per year from your most profitable segments.</w:t>
      </w:r>
    </w:p>
    <w:p>
      <w:pPr>
        <w:spacing w:after="200"/>
      </w:pPr>
    </w:p>
    <w:p>
      <w:r>
        <w:br w:type="page"/>
      </w:r>
    </w:p>
    <w:p>
      <w:pPr>
        <w:pStyle w:val="Heading1"/>
      </w:pPr>
      <w:r>
        <w:t xml:space="preserve">Finding 3: 73% of Inquiries Never Reach a Call</w:t>
      </w:r>
    </w:p>
    <w:p>
      <w:pPr>
        <w:spacing w:after="120" w:line="300"/>
      </w:pPr>
      <w:r>
        <w:rPr>
          <w:rFonts w:ascii="Arial" w:cs="Arial" w:eastAsia="Arial" w:hAnsi="Arial"/>
          <w:sz w:val="22"/>
          <w:szCs w:val="22"/>
        </w:rPr>
        <w:t xml:space="preserve">Of 830 inquiries, 606 never received a package assignment and never got on a discovery call. Only 224 made it to the call stage. Once on a call, conversion is solid at 33%. The gap is getting people on the phone.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960"/>
      </w:tblGrid>
      <w:tr>
        <w:tc>
          <w:tcPr>
            <w:tcW w:type="dxa" w:w="1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Guest Segment</w:t>
            </w:r>
          </w:p>
        </w:tc>
        <w:tc>
          <w:tcPr>
            <w:tcW w:type="dxa" w:w="1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Inquiries</w:t>
            </w:r>
          </w:p>
        </w:tc>
        <w:tc>
          <w:tcPr>
            <w:tcW w:type="dxa" w:w="1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Got on Call</w:t>
            </w:r>
          </w:p>
        </w:tc>
        <w:tc>
          <w:tcPr>
            <w:tcW w:type="dxa" w:w="1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Call Rate</w:t>
            </w:r>
          </w:p>
        </w:tc>
        <w:tc>
          <w:tcPr>
            <w:tcW w:type="dxa" w:w="19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Win Rate (of all)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Couple only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207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8.7%</w:t>
            </w:r>
          </w:p>
        </w:tc>
      </w:tr>
      <w:tr>
        <w:tc>
          <w:tcPr>
            <w:tcW w:type="dxa" w:w="18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1–12 guests</w:t>
            </w:r>
          </w:p>
        </w:tc>
        <w:tc>
          <w:tcPr>
            <w:tcW w:type="dxa" w:w="14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264</w:t>
            </w:r>
          </w:p>
        </w:tc>
        <w:tc>
          <w:tcPr>
            <w:tcW w:type="dxa" w:w="14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57</w:t>
            </w:r>
          </w:p>
        </w:tc>
        <w:tc>
          <w:tcPr>
            <w:tcW w:type="dxa" w:w="14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22%</w:t>
            </w:r>
          </w:p>
        </w:tc>
        <w:tc>
          <w:tcPr>
            <w:tcW w:type="dxa" w:w="19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6.8%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13–25 guests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149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14.8%</w:t>
            </w:r>
          </w:p>
        </w:tc>
      </w:tr>
      <w:tr>
        <w:tc>
          <w:tcPr>
            <w:tcW w:type="dxa" w:w="18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26–50 guests</w:t>
            </w:r>
          </w:p>
        </w:tc>
        <w:tc>
          <w:tcPr>
            <w:tcW w:type="dxa" w:w="14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144</w:t>
            </w:r>
          </w:p>
        </w:tc>
        <w:tc>
          <w:tcPr>
            <w:tcW w:type="dxa" w:w="14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42</w:t>
            </w:r>
          </w:p>
        </w:tc>
        <w:tc>
          <w:tcPr>
            <w:tcW w:type="dxa" w:w="14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29%</w:t>
            </w:r>
          </w:p>
        </w:tc>
        <w:tc>
          <w:tcPr>
            <w:tcW w:type="dxa" w:w="19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51+ guests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0%</w:t>
            </w:r>
          </w:p>
        </w:tc>
      </w:tr>
    </w:tbl>
    <w:p>
      <w:pPr>
        <w:spacing w:after="200"/>
      </w:pPr>
    </w:p>
    <w:p>
      <w:pPr>
        <w:spacing w:after="120" w:line="300"/>
      </w:pPr>
      <w:r>
        <w:rPr>
          <w:rFonts w:ascii="Arial" w:cs="Arial" w:eastAsia="Arial" w:hAnsi="Arial"/>
          <w:sz w:val="22"/>
          <w:szCs w:val="22"/>
        </w:rPr>
        <w:t xml:space="preserve">The 13–25 guest band has the highest call rate (40%) and the best inquiry-to-close conversion (14.8%). These are your most engaged prospects. The couple-only and small-group segments have call rates of 22–25% — many are early-stage explorers who fill out the form but are not ready for a call.</w:t>
      </w:r>
    </w:p>
    <w:p>
      <w:pPr>
        <w:spacing w:after="120" w:line="300"/>
      </w:pPr>
      <w:r>
        <w:rPr>
          <w:rFonts w:ascii="Arial" w:cs="Arial" w:eastAsia="Arial" w:hAnsi="Arial"/>
          <w:b/>
          <w:bCs/>
          <w:sz w:val="22"/>
          <w:szCs w:val="22"/>
        </w:rPr>
        <w:t xml:space="preserve">Insight: </w:t>
      </w:r>
      <w:r>
        <w:rPr>
          <w:rFonts w:ascii="Arial" w:cs="Arial" w:eastAsia="Arial" w:hAnsi="Arial"/>
          <w:sz w:val="22"/>
          <w:szCs w:val="22"/>
        </w:rPr>
        <w:t xml:space="preserve">couples who get on a call write 54% more text in their inquiry forms (370 characters vs 241). Engagement at the form stage predicts call likelihood. Consider prioritizing outreach to inquiries with longer, more detailed responses.</w:t>
      </w:r>
    </w:p>
    <w:p>
      <w:pPr>
        <w:spacing w:after="120" w:line="300"/>
      </w:pPr>
      <w:r>
        <w:rPr>
          <w:rFonts w:ascii="Arial" w:cs="Arial" w:eastAsia="Arial" w:hAnsi="Arial"/>
          <w:b/>
          <w:bCs/>
          <w:sz w:val="22"/>
          <w:szCs w:val="22"/>
        </w:rPr>
        <w:t xml:space="preserve">Opportunity: </w:t>
      </w:r>
      <w:r>
        <w:rPr>
          <w:rFonts w:ascii="Arial" w:cs="Arial" w:eastAsia="Arial" w:hAnsi="Arial"/>
          <w:sz w:val="22"/>
          <w:szCs w:val="22"/>
        </w:rPr>
        <w:t xml:space="preserve">an automated nurture sequence could convert a portion of the 606 no-shows. Even a 5% improvement in call rate adds ~30 calls per year, producing ~10 additional deals at your 33% close rate.</w:t>
      </w:r>
    </w:p>
    <w:p>
      <w:pPr>
        <w:spacing w:after="200"/>
      </w:pPr>
    </w:p>
    <w:p>
      <w:pPr>
        <w:pStyle w:val="Heading1"/>
      </w:pPr>
      <w:r>
        <w:t xml:space="preserve">Finding 4: 51+ Guests — Zero Wins, Real Demand</w:t>
      </w:r>
    </w:p>
    <w:p>
      <w:pPr>
        <w:spacing w:after="120" w:line="300"/>
      </w:pPr>
      <w:r>
        <w:rPr>
          <w:rFonts w:ascii="Arial" w:cs="Arial" w:eastAsia="Arial" w:hAnsi="Arial"/>
          <w:sz w:val="22"/>
          <w:szCs w:val="22"/>
        </w:rPr>
        <w:t xml:space="preserve">36 couples inquired with 51+ guests. Seven got on a call. None converted. These are not tire-kickers — their messages reference venue bookings already made, referrals from Irish venues, and detailed wedding visions with 60–200 guests.</w:t>
      </w:r>
    </w:p>
    <w:p>
      <w:pPr>
        <w:spacing w:after="120" w:line="300"/>
      </w:pPr>
      <w:r>
        <w:rPr>
          <w:rFonts w:ascii="Arial" w:cs="Arial" w:eastAsia="Arial" w:hAnsi="Arial"/>
          <w:b/>
          <w:bCs/>
          <w:sz w:val="22"/>
          <w:szCs w:val="22"/>
        </w:rPr>
        <w:t xml:space="preserve">The gap: </w:t>
      </w:r>
      <w:r>
        <w:rPr>
          <w:rFonts w:ascii="Arial" w:cs="Arial" w:eastAsia="Arial" w:hAnsi="Arial"/>
          <w:sz w:val="22"/>
          <w:szCs w:val="22"/>
        </w:rPr>
        <w:t xml:space="preserve">LEA’s packages cap at 50–60 guests. Couples with 75–200 guests land in ‘Full Wedding Planning’ which has an 11% close rate and no clear positioning. These are Ladybird Bespoke candidates. At 36 inquiries per year, even converting 5 at $7,000 adds $35,000 in near-100% margin revenue.</w:t>
      </w:r>
    </w:p>
    <w:p>
      <w:pPr>
        <w:spacing w:after="200"/>
      </w:pPr>
    </w:p>
    <w:p>
      <w:pPr>
        <w:pStyle w:val="Heading1"/>
      </w:pPr>
      <w:r>
        <w:t xml:space="preserve">Finding 5: RíRá Early Signals</w:t>
      </w:r>
    </w:p>
    <w:p>
      <w:pPr>
        <w:spacing w:after="120" w:line="300"/>
      </w:pPr>
      <w:r>
        <w:rPr>
          <w:rFonts w:ascii="Arial" w:cs="Arial" w:eastAsia="Arial" w:hAnsi="Arial"/>
          <w:sz w:val="22"/>
          <w:szCs w:val="22"/>
        </w:rPr>
        <w:t xml:space="preserve">RíRá has received 7 proposals and won 1 deal ($16,300) since launch. The 14% close rate is concerning but the sample is too small. The one win was 48 guests booked 608 days out — reinforcing that larger celebrations plan far ahead and would be killed by a 16-month cutoff.</w:t>
      </w:r>
    </w:p>
    <w:p>
      <w:pPr>
        <w:spacing w:after="120" w:line="300"/>
      </w:pPr>
      <w:r>
        <w:rPr>
          <w:rFonts w:ascii="Arial" w:cs="Arial" w:eastAsia="Arial" w:hAnsi="Arial"/>
          <w:b/>
          <w:bCs/>
          <w:sz w:val="22"/>
          <w:szCs w:val="22"/>
        </w:rPr>
        <w:t xml:space="preserve">Action: </w:t>
      </w:r>
      <w:r>
        <w:rPr>
          <w:rFonts w:ascii="Arial" w:cs="Arial" w:eastAsia="Arial" w:hAnsi="Arial"/>
          <w:sz w:val="22"/>
          <w:szCs w:val="22"/>
        </w:rPr>
        <w:t xml:space="preserve">give RíRá 6 months before adjusting. By September 2026, you should have 20–25 proposals — enough to judge whether the price point is landing.</w:t>
      </w:r>
    </w:p>
    <w:p>
      <w:pPr>
        <w:spacing w:after="200"/>
      </w:pPr>
    </w:p>
    <w:p>
      <w:r>
        <w:br w:type="page"/>
      </w:r>
    </w:p>
    <w:p>
      <w:pPr>
        <w:pStyle w:val="Heading1"/>
      </w:pPr>
      <w:r>
        <w:t xml:space="preserve">Customer Personas</w:t>
      </w:r>
    </w:p>
    <w:p>
      <w:pPr>
        <w:spacing w:after="120" w:line="300"/>
      </w:pPr>
      <w:r>
        <w:rPr>
          <w:rFonts w:ascii="Arial" w:cs="Arial" w:eastAsia="Arial" w:hAnsi="Arial"/>
          <w:sz w:val="22"/>
          <w:szCs w:val="22"/>
        </w:rPr>
        <w:t xml:space="preserve">Text analysis of the three open-ended inquiry fields reveals distinct buyer types: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960"/>
      </w:tblGrid>
      <w:tr>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Persona</w:t>
            </w:r>
          </w:p>
        </w:tc>
        <w:tc>
          <w:tcPr>
            <w:tcW w:type="dxa" w:w="13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Inquiries</w:t>
            </w:r>
          </w:p>
        </w:tc>
        <w:tc>
          <w:tcPr>
            <w:tcW w:type="dxa" w:w="13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 of Total</w:t>
            </w:r>
          </w:p>
        </w:tc>
        <w:tc>
          <w:tcPr>
            <w:tcW w:type="dxa" w:w="13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Win Rate</w:t>
            </w:r>
          </w:p>
        </w:tc>
        <w:tc>
          <w:tcPr>
            <w:tcW w:type="dxa" w:w="19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Avg Won 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Intimate Escapist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338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40.7%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$7,654</w:t>
            </w:r>
          </w:p>
        </w:tc>
      </w:tr>
      <w:tr>
        <w:tc>
          <w:tcPr>
            <w:tcW w:type="dxa" w:w="22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Heritage Romantic</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241</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29.0%</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10.4%</w:t>
            </w:r>
          </w:p>
        </w:tc>
        <w:tc>
          <w:tcPr>
            <w:tcW w:type="dxa" w:w="19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$8,256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Castle Dreamer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154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9.7%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$9,167</w:t>
            </w:r>
          </w:p>
        </w:tc>
      </w:tr>
      <w:tr>
        <w:tc>
          <w:tcPr>
            <w:tcW w:type="dxa" w:w="22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Full Event Planner</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114</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13.7%</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14.9%</w:t>
            </w:r>
          </w:p>
        </w:tc>
        <w:tc>
          <w:tcPr>
            <w:tcW w:type="dxa" w:w="19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$8,744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Budget Conscious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$7,345</w:t>
            </w:r>
          </w:p>
        </w:tc>
      </w:tr>
      <w:tr>
        <w:tc>
          <w:tcPr>
            <w:tcW w:type="dxa" w:w="22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Vow Renewal</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60</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7.2%</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11.7%</w:t>
            </w:r>
          </w:p>
        </w:tc>
        <w:tc>
          <w:tcPr>
            <w:tcW w:type="dxa" w:w="19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$5,929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DIY / Just Need Help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$7,517</w:t>
            </w:r>
          </w:p>
        </w:tc>
      </w:tr>
      <w:tr>
        <w:tc>
          <w:tcPr>
            <w:tcW w:type="dxa" w:w="22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Partner Is Irish</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43</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5.2%</w:t>
            </w:r>
          </w:p>
        </w:tc>
        <w:tc>
          <w:tcPr>
            <w:tcW w:type="dxa" w:w="13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11.6%</w:t>
            </w:r>
          </w:p>
        </w:tc>
        <w:tc>
          <w:tcPr>
            <w:tcW w:type="dxa" w:w="19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$7,750</w:t>
            </w:r>
          </w:p>
        </w:tc>
      </w:tr>
    </w:tbl>
    <w:p>
      <w:pPr>
        <w:spacing w:after="200"/>
      </w:pPr>
    </w:p>
    <w:p>
      <w:pPr>
        <w:spacing w:after="120" w:line="300"/>
      </w:pPr>
      <w:r>
        <w:rPr>
          <w:rFonts w:ascii="Arial" w:cs="Arial" w:eastAsia="Arial" w:hAnsi="Arial"/>
          <w:b/>
          <w:bCs/>
          <w:sz w:val="22"/>
          <w:szCs w:val="22"/>
        </w:rPr>
        <w:t xml:space="preserve">Intimate Escapist (41%): </w:t>
      </w:r>
      <w:r>
        <w:rPr>
          <w:rFonts w:ascii="Arial" w:cs="Arial" w:eastAsia="Arial" w:hAnsi="Arial"/>
          <w:sz w:val="22"/>
          <w:szCs w:val="22"/>
        </w:rPr>
        <w:t xml:space="preserve">your largest group. They want simplicity — just them or a handful of guests, escaping the traditional wedding. Natural Fáilte and Grá buyers. The challenge: many are early-stage dreamers with lower engagement.</w:t>
      </w:r>
    </w:p>
    <w:p>
      <w:pPr>
        <w:spacing w:after="120" w:line="300"/>
      </w:pPr>
      <w:r>
        <w:rPr>
          <w:rFonts w:ascii="Arial" w:cs="Arial" w:eastAsia="Arial" w:hAnsi="Arial"/>
          <w:b/>
          <w:bCs/>
          <w:sz w:val="22"/>
          <w:szCs w:val="22"/>
        </w:rPr>
        <w:t xml:space="preserve">Heritage Romantic (29%): </w:t>
      </w:r>
      <w:r>
        <w:rPr>
          <w:rFonts w:ascii="Arial" w:cs="Arial" w:eastAsia="Arial" w:hAnsi="Arial"/>
          <w:sz w:val="22"/>
          <w:szCs w:val="22"/>
        </w:rPr>
        <w:t xml:space="preserve">Irish ancestry drives the decision. They bring family (avg 19 guests). Higher deal value at $8,256 makes them natural Sláinte buyers. The LEA origin story resonates powerfully with this group.</w:t>
      </w:r>
    </w:p>
    <w:p>
      <w:pPr>
        <w:spacing w:after="120" w:line="300"/>
      </w:pPr>
      <w:r>
        <w:rPr>
          <w:rFonts w:ascii="Arial" w:cs="Arial" w:eastAsia="Arial" w:hAnsi="Arial"/>
          <w:b/>
          <w:bCs/>
          <w:sz w:val="22"/>
          <w:szCs w:val="22"/>
        </w:rPr>
        <w:t xml:space="preserve">Castle Dreamer (19%): </w:t>
      </w:r>
      <w:r>
        <w:rPr>
          <w:rFonts w:ascii="Arial" w:cs="Arial" w:eastAsia="Arial" w:hAnsi="Arial"/>
          <w:sz w:val="22"/>
          <w:szCs w:val="22"/>
        </w:rPr>
        <w:t xml:space="preserve">highest average won deal at $9,167. They want the fairy tale and are willing to pay. Marketing castles prominently feeds this persona directly.</w:t>
      </w:r>
    </w:p>
    <w:p>
      <w:pPr>
        <w:spacing w:after="120" w:line="300"/>
      </w:pPr>
      <w:r>
        <w:rPr>
          <w:rFonts w:ascii="Arial" w:cs="Arial" w:eastAsia="Arial" w:hAnsi="Arial"/>
          <w:b/>
          <w:bCs/>
          <w:sz w:val="22"/>
          <w:szCs w:val="22"/>
        </w:rPr>
        <w:t xml:space="preserve">Full Event Planner (14%): </w:t>
      </w:r>
      <w:r>
        <w:rPr>
          <w:rFonts w:ascii="Arial" w:cs="Arial" w:eastAsia="Arial" w:hAnsi="Arial"/>
          <w:sz w:val="22"/>
          <w:szCs w:val="22"/>
        </w:rPr>
        <w:t xml:space="preserve">highest win rate at 14.9%. They want a real wedding with reception, dancing, speeches. Average 25 guests. They know they need a planner and convert the best. These are your Sláinte, Ard, and RíRá core.</w:t>
      </w:r>
    </w:p>
    <w:p>
      <w:pPr>
        <w:spacing w:after="120" w:line="300"/>
      </w:pPr>
      <w:r>
        <w:rPr>
          <w:rFonts w:ascii="Arial" w:cs="Arial" w:eastAsia="Arial" w:hAnsi="Arial"/>
          <w:b/>
          <w:bCs/>
          <w:sz w:val="22"/>
          <w:szCs w:val="22"/>
        </w:rPr>
        <w:t xml:space="preserve">Vow Renewal (7%): </w:t>
      </w:r>
      <w:r>
        <w:rPr>
          <w:rFonts w:ascii="Arial" w:cs="Arial" w:eastAsia="Arial" w:hAnsi="Arial"/>
          <w:sz w:val="22"/>
          <w:szCs w:val="22"/>
        </w:rPr>
        <w:t xml:space="preserve">60 inquiries per year, averaging 4 guests and $5,929 per win. Only 23% get on a call. This is the Ladybird Lite sweet spot — they want guidance, not full concierge. The product gap is clear.</w:t>
      </w:r>
    </w:p>
    <w:p>
      <w:pPr>
        <w:spacing w:after="120" w:line="300"/>
      </w:pPr>
      <w:r>
        <w:rPr>
          <w:rFonts w:ascii="Arial" w:cs="Arial" w:eastAsia="Arial" w:hAnsi="Arial"/>
          <w:b/>
          <w:bCs/>
          <w:sz w:val="22"/>
          <w:szCs w:val="22"/>
        </w:rPr>
        <w:t xml:space="preserve">Budget Conscious (11%): </w:t>
      </w:r>
      <w:r>
        <w:rPr>
          <w:rFonts w:ascii="Arial" w:cs="Arial" w:eastAsia="Arial" w:hAnsi="Arial"/>
          <w:sz w:val="22"/>
          <w:szCs w:val="22"/>
        </w:rPr>
        <w:t xml:space="preserve">their win rate (10.6%) is at the overall average and avg won deal is $7,345. They are not cheap — they are price-aware. The Dec 3rd price increases may disproportionately impact this group.</w:t>
      </w:r>
    </w:p>
    <w:p>
      <w:pPr>
        <w:spacing w:after="120" w:line="300"/>
      </w:pPr>
      <w:r>
        <w:rPr>
          <w:rFonts w:ascii="Arial" w:cs="Arial" w:eastAsia="Arial" w:hAnsi="Arial"/>
          <w:b/>
          <w:bCs/>
          <w:sz w:val="22"/>
          <w:szCs w:val="22"/>
        </w:rPr>
        <w:t xml:space="preserve">DIY / Just Need Help (6%): </w:t>
      </w:r>
      <w:r>
        <w:rPr>
          <w:rFonts w:ascii="Arial" w:cs="Arial" w:eastAsia="Arial" w:hAnsi="Arial"/>
          <w:sz w:val="22"/>
          <w:szCs w:val="22"/>
        </w:rPr>
        <w:t xml:space="preserve">48 inquiries wanting guidance or partial help. Average 22 guests, 12.5% win rate. Split between Bespoke candidates (large groups) and Lite candidates (small groups). Neither product is actively surfaced to them.</w:t>
      </w:r>
    </w:p>
    <w:p>
      <w:pPr>
        <w:spacing w:after="200"/>
      </w:pPr>
    </w:p>
    <w:p>
      <w:r>
        <w:br w:type="page"/>
      </w:r>
    </w:p>
    <w:p>
      <w:pPr>
        <w:pStyle w:val="Heading1"/>
      </w:pPr>
      <w:r>
        <w:t xml:space="preserve">Discovery Channels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860"/>
      </w:tblGrid>
      <w:tr>
        <w:tc>
          <w:tcPr>
            <w:tcW w:type="dxa" w:w="3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Inquiries</w:t>
            </w:r>
          </w:p>
        </w:tc>
        <w:tc>
          <w:tcPr>
            <w:tcW w:type="dxa" w:w="1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Won</w:t>
            </w:r>
          </w:p>
        </w:tc>
        <w:tc>
          <w:tcPr>
            <w:tcW w:type="dxa" w:w="28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Win Rate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Google / Search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7</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6%</w:t>
            </w:r>
          </w:p>
        </w:tc>
      </w:tr>
      <w:tr>
        <w:tc>
          <w:tcPr>
            <w:tcW w:type="dxa" w:w="30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Referral / Word of Mouth</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67</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13</w:t>
            </w:r>
          </w:p>
        </w:tc>
        <w:tc>
          <w:tcPr>
            <w:tcW w:type="dxa" w:w="2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Website quality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57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18%</w:t>
            </w:r>
          </w:p>
        </w:tc>
      </w:tr>
      <w:tr>
        <w:tc>
          <w:tcPr>
            <w:tcW w:type="dxa" w:w="30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Reviews / Reputation</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31</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w:t>
            </w:r>
          </w:p>
        </w:tc>
        <w:tc>
          <w:tcPr>
            <w:tcW w:type="dxa" w:w="2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TikTok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15%</w:t>
            </w:r>
          </w:p>
        </w:tc>
      </w:tr>
      <w:tr>
        <w:tc>
          <w:tcPr>
            <w:tcW w:type="dxa" w:w="30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LEA Story resonated</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w:t>
            </w:r>
          </w:p>
        </w:tc>
        <w:tc>
          <w:tcPr>
            <w:tcW w:type="dxa" w:w="2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AI / ChatGPT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YouTube</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13</w:t>
            </w:r>
          </w:p>
        </w:tc>
        <w:tc>
          <w:tcPr>
            <w:tcW w:type="dxa" w:w="1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w:t>
            </w:r>
          </w:p>
        </w:tc>
        <w:tc>
          <w:tcPr>
            <w:tcW w:type="dxa" w:w="286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Instagram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36%</w:t>
            </w:r>
          </w:p>
        </w:tc>
      </w:tr>
    </w:tbl>
    <w:p>
      <w:pPr>
        <w:spacing w:after="200"/>
      </w:pPr>
    </w:p>
    <w:p>
      <w:pPr>
        <w:spacing w:after="120" w:line="300"/>
      </w:pPr>
      <w:r>
        <w:rPr>
          <w:rFonts w:ascii="Arial" w:cs="Arial" w:eastAsia="Arial" w:hAnsi="Arial"/>
          <w:b/>
          <w:bCs/>
          <w:sz w:val="22"/>
          <w:szCs w:val="22"/>
        </w:rPr>
        <w:t xml:space="preserve">Referrals convert 3× Google: </w:t>
      </w:r>
      <w:r>
        <w:rPr>
          <w:rFonts w:ascii="Arial" w:cs="Arial" w:eastAsia="Arial" w:hAnsi="Arial"/>
          <w:sz w:val="22"/>
          <w:szCs w:val="22"/>
        </w:rPr>
        <w:t xml:space="preserve">Google drives volume (124 inquiries) but converts at just 6%. Referrals arrive with trust and convert at 19%. Instagram, despite tiny volume, converts at 36%. Social proof and visual storytelling dramatically outperform search.</w:t>
      </w:r>
    </w:p>
    <w:p>
      <w:pPr>
        <w:spacing w:after="120" w:line="300"/>
      </w:pPr>
      <w:r>
        <w:rPr>
          <w:rFonts w:ascii="Arial" w:cs="Arial" w:eastAsia="Arial" w:hAnsi="Arial"/>
          <w:b/>
          <w:bCs/>
          <w:sz w:val="22"/>
          <w:szCs w:val="22"/>
        </w:rPr>
        <w:t xml:space="preserve">AI leads are emerging: </w:t>
      </w:r>
      <w:r>
        <w:rPr>
          <w:rFonts w:ascii="Arial" w:cs="Arial" w:eastAsia="Arial" w:hAnsi="Arial"/>
          <w:sz w:val="22"/>
          <w:szCs w:val="22"/>
        </w:rPr>
        <w:t xml:space="preserve">20 inquiries found LEA through AI or ChatGPT. This channel will grow. Strong website content and reviews ensure LEA appears in AI recommendations.</w:t>
      </w:r>
    </w:p>
    <w:p>
      <w:pPr>
        <w:spacing w:after="200"/>
      </w:pPr>
    </w:p>
    <w:p>
      <w:pPr>
        <w:pStyle w:val="Heading1"/>
      </w:pPr>
      <w:r>
        <w:t xml:space="preserve">Why Couples Choose Ireland</w:t>
      </w:r>
    </w:p>
    <w:p>
      <w:pPr>
        <w:spacing w:after="120" w:line="300"/>
      </w:pPr>
      <w:r>
        <w:rPr>
          <w:rFonts w:ascii="Arial" w:cs="Arial" w:eastAsia="Arial" w:hAnsi="Arial"/>
          <w:sz w:val="22"/>
          <w:szCs w:val="22"/>
        </w:rPr>
        <w:t xml:space="preserve">From 770 responses to ‘What Made You Choose Ireland?’: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Reason</w:t>
            </w:r>
          </w:p>
        </w:tc>
        <w:tc>
          <w:tcPr>
            <w:tcW w:type="dxa" w:w="293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Mentions</w:t>
            </w:r>
          </w:p>
        </w:tc>
        <w:tc>
          <w:tcPr>
            <w:tcW w:type="dxa" w:w="293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rFonts w:ascii="Arial" w:cs="Arial" w:eastAsia="Arial" w:hAnsi="Arial"/>
                <w:b/>
                <w:bCs/>
                <w:color w:val="FFFFFF"/>
                <w:sz w:val="20"/>
                <w:szCs w:val="20"/>
              </w:rPr>
              <w:t xml:space="preserve">% of Responses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Beauty / Scenery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330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42.9%</w:t>
            </w:r>
          </w:p>
        </w:tc>
      </w:tr>
      <w:tr>
        <w:tc>
          <w:tcPr>
            <w:tcW w:type="dxa" w:w="3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Heritage / Ancestry</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295</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38.3%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Dream / Bucket list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103</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13.4%</w:t>
            </w:r>
          </w:p>
        </w:tc>
      </w:tr>
      <w:tr>
        <w:tc>
          <w:tcPr>
            <w:tcW w:type="dxa" w:w="3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Castles</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73</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9.5%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Partner is Irish</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65</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8.4%</w:t>
            </w:r>
          </w:p>
        </w:tc>
      </w:tr>
      <w:tr>
        <w:tc>
          <w:tcPr>
            <w:tcW w:type="dxa" w:w="3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Destination / Intimate</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44</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5.7%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Visited / Lived there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34</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333333"/>
                <w:sz w:val="20"/>
                <w:szCs w:val="20"/>
              </w:rPr>
              <w:t xml:space="preserve">4.4%</w:t>
            </w:r>
          </w:p>
        </w:tc>
      </w:tr>
      <w:tr>
        <w:tc>
          <w:tcPr>
            <w:tcW w:type="dxa" w:w="350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left"/>
            </w:pPr>
            <w:r>
              <w:rPr>
                <w:rFonts w:ascii="Arial" w:cs="Arial" w:eastAsia="Arial" w:hAnsi="Arial"/>
                <w:color w:val="333333"/>
                <w:sz w:val="20"/>
                <w:szCs w:val="20"/>
              </w:rPr>
              <w:t xml:space="preserve">Vow renewal</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8</w:t>
            </w:r>
          </w:p>
        </w:tc>
        <w:tc>
          <w:tcPr>
            <w:tcW w:type="dxa" w:w="2930"/>
            <w:tcBorders>
              <w:top w:val="single" w:color="CCCCCC" w:sz="1"/>
              <w:left w:val="single" w:color="CCCCCC" w:sz="1"/>
              <w:bottom w:val="single" w:color="CCCCCC" w:sz="1"/>
              <w:right w:val="single" w:color="CCCCCC" w:sz="1"/>
            </w:tcBorders>
            <w:shd w:fill="F7FAF9" w:val="clear"/>
            <w:tcMar>
              <w:top w:type="dxa" w:w="60"/>
              <w:left w:type="dxa" w:w="100"/>
              <w:bottom w:type="dxa" w:w="60"/>
              <w:right w:type="dxa" w:w="100"/>
            </w:tcMar>
          </w:tcPr>
          <w:p>
            <w:pPr>
              <w:jc w:val="right"/>
            </w:pPr>
            <w:r>
              <w:rPr>
                <w:rFonts w:ascii="Arial" w:cs="Arial" w:eastAsia="Arial" w:hAnsi="Arial"/>
                <w:color w:val="333333"/>
                <w:sz w:val="20"/>
                <w:szCs w:val="20"/>
              </w:rPr>
              <w:t xml:space="preserve">1.0%</w:t>
            </w:r>
          </w:p>
        </w:tc>
      </w:tr>
    </w:tbl>
    <w:p>
      <w:pPr>
        <w:spacing w:after="200"/>
      </w:pPr>
    </w:p>
    <w:p>
      <w:pPr>
        <w:spacing w:after="120" w:line="300"/>
      </w:pPr>
      <w:r>
        <w:rPr>
          <w:rFonts w:ascii="Arial" w:cs="Arial" w:eastAsia="Arial" w:hAnsi="Arial"/>
          <w:sz w:val="22"/>
          <w:szCs w:val="22"/>
        </w:rPr>
        <w:t xml:space="preserve">Beauty and heritage together drive over 80% of the motivation to choose Ireland. This should be the backbone of all marketing content. The castle interest (9.5%) is notable because Castle Dreamers have the highest average deal value ($9,167) — castle content punches above its weight commercially.</w:t>
      </w:r>
    </w:p>
    <w:p>
      <w:pPr>
        <w:spacing w:after="200"/>
      </w:pPr>
    </w:p>
    <w:p>
      <w:r>
        <w:br w:type="page"/>
      </w:r>
    </w:p>
    <w:p>
      <w:pPr>
        <w:pStyle w:val="Heading1"/>
      </w:pPr>
      <w:r>
        <w:t xml:space="preserve">Recommendations</w:t>
      </w:r>
    </w:p>
    <w:p>
      <w:pPr>
        <w:spacing w:after="200"/>
      </w:pPr>
    </w:p>
    <w:p>
      <w:pPr>
        <w:pStyle w:val="Heading2"/>
      </w:pPr>
      <w:r>
        <w:t xml:space="preserve">1. Set the Wedding Date Cutoff at 24 Months, Not 16</w:t>
      </w:r>
    </w:p>
    <w:p>
      <w:pPr>
        <w:spacing w:after="120" w:line="300"/>
      </w:pPr>
      <w:r>
        <w:rPr>
          <w:rFonts w:ascii="Arial" w:cs="Arial" w:eastAsia="Arial" w:hAnsi="Arial"/>
          <w:sz w:val="22"/>
          <w:szCs w:val="22"/>
        </w:rPr>
        <w:t xml:space="preserve">A 16-month cutoff loses 30.6% of won revenue ($163,858), disproportionately from Ard, Sláinte, and RíRá. A 24-month cutoff captures 94.5%. If operational constraints require a shorter window, 18 months captures 78.4%. Alternatively, accept all inquiries but prioritize scheduling for couples within 18 months and use email nurture for those further out.</w:t>
      </w:r>
    </w:p>
    <w:p>
      <w:pPr>
        <w:spacing w:after="200"/>
      </w:pPr>
    </w:p>
    <w:p>
      <w:pPr>
        <w:pStyle w:val="Heading2"/>
      </w:pPr>
      <w:r>
        <w:t xml:space="preserve">2. Watch Grá and Ard Close Rates Through Q2</w:t>
      </w:r>
    </w:p>
    <w:p>
      <w:pPr>
        <w:spacing w:after="120" w:line="300"/>
      </w:pPr>
      <w:r>
        <w:rPr>
          <w:rFonts w:ascii="Arial" w:cs="Arial" w:eastAsia="Arial" w:hAnsi="Arial"/>
          <w:sz w:val="22"/>
          <w:szCs w:val="22"/>
        </w:rPr>
        <w:t xml:space="preserve">The Grá price jump from ~$5,650 to $7,300 halved the close rate. Ard from ~$9,100 to $12,200 dropped from 33% to 20%. Monthly revenue is flat because deal values rose, but fewer wins means fewer referrals and reviews. If these rates do not recover by June, consider reintroducing quote flexibility or a mid-tier option between Fáilte and Grá.</w:t>
      </w:r>
    </w:p>
    <w:p>
      <w:pPr>
        <w:spacing w:after="200"/>
      </w:pPr>
    </w:p>
    <w:p>
      <w:pPr>
        <w:pStyle w:val="Heading2"/>
      </w:pPr>
      <w:r>
        <w:t xml:space="preserve">3. Activate Bespoke for 51+ Guest Inquiries</w:t>
      </w:r>
    </w:p>
    <w:p>
      <w:pPr>
        <w:spacing w:after="120" w:line="300"/>
      </w:pPr>
      <w:r>
        <w:rPr>
          <w:rFonts w:ascii="Arial" w:cs="Arial" w:eastAsia="Arial" w:hAnsi="Arial"/>
          <w:sz w:val="22"/>
          <w:szCs w:val="22"/>
        </w:rPr>
        <w:t xml:space="preserve">Route all 51+ guest inquiries to Bespoke on intro calls. Stop using ‘Full Wedding Planning’ as a package. Even 5 Bespoke conversions per year at $7,000 adds $35,000 in near-100% margin revenue from a segment currently at 0% conversion.</w:t>
      </w:r>
    </w:p>
    <w:p>
      <w:pPr>
        <w:spacing w:after="200"/>
      </w:pPr>
    </w:p>
    <w:p>
      <w:pPr>
        <w:pStyle w:val="Heading2"/>
      </w:pPr>
      <w:r>
        <w:t xml:space="preserve">4. Build an Email Nurture Sequence</w:t>
      </w:r>
    </w:p>
    <w:p>
      <w:pPr>
        <w:spacing w:after="120" w:line="300"/>
      </w:pPr>
      <w:r>
        <w:rPr>
          <w:rFonts w:ascii="Arial" w:cs="Arial" w:eastAsia="Arial" w:hAnsi="Arial"/>
          <w:sz w:val="22"/>
          <w:szCs w:val="22"/>
        </w:rPr>
        <w:t xml:space="preserve">606 inquiries (73%) never get on a call. A 3–5 email sequence with Ireland planning tips, couple stories, and a clear CTA could convert 5–10% to calls, adding 30–60 calls per year and approximately 10–20 additional won deals.</w:t>
      </w:r>
    </w:p>
    <w:p>
      <w:pPr>
        <w:spacing w:after="200"/>
      </w:pPr>
    </w:p>
    <w:p>
      <w:pPr>
        <w:pStyle w:val="Heading2"/>
      </w:pPr>
      <w:r>
        <w:t xml:space="preserve">5. Launch Ladybird Lite for Vow Renewals and DIY Couples</w:t>
      </w:r>
    </w:p>
    <w:p>
      <w:pPr>
        <w:spacing w:after="120" w:line="300"/>
      </w:pPr>
      <w:r>
        <w:rPr>
          <w:rFonts w:ascii="Arial" w:cs="Arial" w:eastAsia="Arial" w:hAnsi="Arial"/>
          <w:sz w:val="22"/>
          <w:szCs w:val="22"/>
        </w:rPr>
        <w:t xml:space="preserve">60 vow renewal + 48 DIY inquiries per year. Most want guidance, not full concierge. A $400 self-service product captures both immediately. At 30–50 sales per year, that is $12,000–$20,000 in passive revenue plus a warm lead pipeline.</w:t>
      </w:r>
    </w:p>
    <w:p>
      <w:pPr>
        <w:spacing w:after="200"/>
      </w:pPr>
    </w:p>
    <w:p>
      <w:pPr>
        <w:pStyle w:val="Heading2"/>
      </w:pPr>
      <w:r>
        <w:t xml:space="preserve">6. Invest in Referral and Instagram Over Google</w:t>
      </w:r>
    </w:p>
    <w:p>
      <w:pPr>
        <w:spacing w:after="120" w:line="300"/>
      </w:pPr>
      <w:r>
        <w:rPr>
          <w:rFonts w:ascii="Arial" w:cs="Arial" w:eastAsia="Arial" w:hAnsi="Arial"/>
          <w:sz w:val="22"/>
          <w:szCs w:val="22"/>
        </w:rPr>
        <w:t xml:space="preserve">Referrals (19% conversion) and Instagram (36%) dramatically outperform Google (6%). A referral incentive program and increased Instagram content showing real weddings would yield higher-quality leads than additional SEO spend.</w:t>
      </w:r>
    </w:p>
    <w:p>
      <w:pPr>
        <w:spacing w:after="200"/>
      </w:pPr>
    </w:p>
    <w:p>
      <w:pPr>
        <w:pStyle w:val="Heading2"/>
      </w:pPr>
      <w:r>
        <w:t xml:space="preserve">7. Consider a Product Between Fáilte ($4,900) and Grá ($7,300)</w:t>
      </w:r>
    </w:p>
    <w:p>
      <w:pPr>
        <w:spacing w:after="120" w:line="300"/>
      </w:pPr>
      <w:r>
        <w:rPr>
          <w:rFonts w:ascii="Arial" w:cs="Arial" w:eastAsia="Arial" w:hAnsi="Arial"/>
          <w:sz w:val="22"/>
          <w:szCs w:val="22"/>
        </w:rPr>
        <w:t xml:space="preserve">Pre-December, many Grá deals closed at $5,200–$5,650. The jump to $7,300 may have created a price gap between Fáilte and Grá. Couples with 2–4 guests who want more than Fáilte but find Grá too expensive may be falling through. This is worth monitoring — if the 1–4 guest call rate remains low, a ~$5,500 mid-option could recapture them.</w:t>
      </w:r>
    </w:p>
    <w:p>
      <w:pPr>
        <w:spacing w:after="200"/>
      </w:pPr>
    </w:p>
    <w:p>
      <w:pPr>
        <w:pBdr>
          <w:bottom w:val="single" w:color="DDDDDD" w:sz="2" w:space="1"/>
        </w:pBdr>
        <w:spacing w:after="200" w:before="200"/>
      </w:pPr>
    </w:p>
    <w:p>
      <w:pPr>
        <w:spacing w:before="200"/>
        <w:jc w:val="center"/>
      </w:pPr>
      <w:r>
        <w:rPr>
          <w:rFonts w:ascii="Arial" w:cs="Arial" w:eastAsia="Arial" w:hAnsi="Arial"/>
          <w:color w:val="999999"/>
          <w:sz w:val="18"/>
          <w:szCs w:val="18"/>
        </w:rPr>
        <w:t xml:space="preserve">Ladybird Ever After  ·  Inquiry Deep Dive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3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D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2026-03-21T16:28:15.230Z</dcterms:created>
  <dcterms:modified xsi:type="dcterms:W3CDTF">2026-03-21T16:28:15.230Z</dcterms:modified>
</cp:coreProperties>
</file>

<file path=docProps/custom.xml><?xml version="1.0" encoding="utf-8"?>
<Properties xmlns="http://schemas.openxmlformats.org/officeDocument/2006/custom-properties" xmlns:vt="http://schemas.openxmlformats.org/officeDocument/2006/docPropsVTypes"/>
</file>