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Change note 11 October 2026 (version 0.4): Revised after the research governance review of version 0.3. Added: sponsor oversight wording and a sponsor documents list with status and owner (Appendix O); clinical study insurance with no-fault compensation for participants; Prolific as the default recruitment route; the rules that no identifiable free text leaves </w:t>
      </w:r>
      <w:r>
        <w:rPr>
          <w:strike/>
        </w:rPr>
        <w:t>Sleep and Health Clinic App Ltd</w:t>
      </w:r>
      <w:r>
        <w:rPr/>
        <w:t xml:space="preserve"> SHC Sleep Solutions Limited</w:t>
      </w:r>
      <w:r>
        <w:t xml:space="preserve"> and that any outbound share of study data needs a current data note; the partner site as processor under an Article 28 agreement; legitimate interests proposed as the lawful basis for research processing, for the data protection officer to confirm; partner background-IP and know-how carve-outs; results made public within 12 months, a final report and a participant summary; and conflict-of-interest safeguards. The UK Medical Devices Regulations 2002 citation is corrected to regulation 16. Publication review and patent-delay periods are taken from the current HRA model Clinical Investigation Agreement (version 6.0, August 2026). The intended-purpose alignment (section 3) and the ethics route and clinical-investigation determination (section 16) are unchanged and remain open. Version 0.3 is superseded and kept on file. Earlier dates in this file are kept.</w:t>
      </w:r>
    </w:p>
    <w:p>
      <w:r>
        <w:t xml:space="preserve">Change note 11 October 2026 (version 0.3): Governance structure revised for intellectual-property reasons, as required by Dr Sara McNeillis. </w:t>
      </w:r>
      <w:r>
        <w:rPr>
          <w:strike/>
        </w:rPr>
        <w:t xml:space="preserve">Sleep and Health Clinic App Ltd</w:t>
      </w:r>
      <w:r>
        <w:rPr/>
        <w:t xml:space="preserve"> SHC Sleep Solutions Limited (company number 12467350; then named Sleep and Health Clinic App Limited, renamed 27 October 2026)</w:t>
      </w:r>
      <w:r>
        <w:t xml:space="preserve"> (12467350) is sponsor and holds the study funding. The hospital or university partner is a subcontracted site, paid by </w:t>
      </w:r>
      <w:r>
        <w:rPr>
          <w:strike/>
        </w:rPr>
        <w:t xml:space="preserve">App Ltd</w:t>
      </w:r>
      <w:r>
        <w:rPr/>
        <w:t xml:space="preserve"> SHC Sleep Solutions Limited (short form for company number 12467350, renamed 27 October 2026)</w:t>
      </w:r>
      <w:r>
        <w:t xml:space="preserve"> under a site/services agreement; the partner is not yet named and appears as “Partner site (to be confirmed)”. All intellectual property, data rights and ownership of results stay with </w:t>
      </w:r>
      <w:r>
        <w:rPr>
          <w:strike/>
        </w:rPr>
        <w:t>App Ltd</w:t>
      </w:r>
      <w:r>
        <w:rPr/>
        <w:t xml:space="preserve"> SHC Sleep Solutions Limited</w:t>
      </w:r>
      <w:r>
        <w:t>; the partner has no claim on intellectual property, may publish subject to sponsor review, and is bound by confidentiality. Sleep and Health Clinic Ltd (08904119) gives clinical advice only, under LAZ-AGR-001 (drafted, to be signed); the related-party directors are disclosed. Intended-purpose alignment updated to the draft position agreed on 11 October 2026: MHRA Class IIa (class 2a), one layer, insomnia diagnosis and monitoring, no therapy claims; pregnancy to be confirmed. The names of earlier research-licence conversations are removed; no organisation is named as a partner. Version 0.2 remains on file. Earlier dates in this file are kept.</w:t>
      </w:r>
    </w:p>
    <w:p>
      <w:pPr>
        <w:pStyle w:val="Title"/>
      </w:pPr>
      <w:r>
        <w:t>Concurrent validity and usability of the Lazoo (SHC Digital Sleep Diary) compared with the Consensus Sleep Diary–Morning (CSD-M) in adults</w:t>
      </w:r>
    </w:p>
    <w:p>
      <w:r>
        <w:rPr>
          <w:strike/>
        </w:rPr>
        <w:t>Sleep and Health Clinic App Ltd</w:t>
      </w:r>
      <w:r>
        <w:rPr/>
        <w:t xml:space="preserve"> SHC Sleep Solutions Limited</w:t>
      </w:r>
      <w:r>
        <w:t xml:space="preserve"> — Clinical Research Protocol</w:t>
      </w:r>
    </w:p>
    <w:p>
      <w:r>
        <w:rPr>
          <w:b/>
        </w:rPr>
        <w:t>Document ID:</w:t>
      </w:r>
      <w:r>
        <w:t xml:space="preserve"> LAZ-VAL-001-protocol</w:t>
      </w:r>
    </w:p>
    <w:p>
      <w:r>
        <w:rPr>
          <w:b/>
        </w:rPr>
        <w:t>Version:</w:t>
      </w:r>
      <w:r>
        <w:t xml:space="preserve"> 0.4 draft (not for IRAS; not signed by the Chief Investigator)</w:t>
      </w:r>
    </w:p>
    <w:p>
      <w:r>
        <w:rPr>
          <w:b/>
        </w:rPr>
        <w:t>Date:</w:t>
      </w:r>
      <w:r>
        <w:t xml:space="preserve"> 11 October 2026 (version 0.3: 11 October 2026, superseded; version 0.2: 28 August 2026)</w:t>
      </w:r>
    </w:p>
    <w:p>
      <w:r>
        <w:rPr>
          <w:b/>
        </w:rPr>
        <w:t>Study ID:</w:t>
      </w:r>
      <w:r>
        <w:t xml:space="preserve"> LAZ-VAL-001</w:t>
      </w:r>
    </w:p>
    <w:p>
      <w:r>
        <w:rPr>
          <w:b/>
        </w:rPr>
        <w:t>Sponsor:</w:t>
      </w:r>
      <w:r>
        <w:t xml:space="preserve"> </w:t>
      </w:r>
      <w:r>
        <w:rPr>
          <w:strike/>
        </w:rPr>
        <w:t>Sleep and Health Clinic App Ltd</w:t>
      </w:r>
      <w:r>
        <w:rPr/>
        <w:t xml:space="preserve"> SHC Sleep Solutions Limited</w:t>
      </w:r>
      <w:r>
        <w:t xml:space="preserve"> (company number 12467350)</w:t>
      </w:r>
    </w:p>
    <w:p>
      <w:r>
        <w:rPr>
          <w:b/>
        </w:rPr>
        <w:t>Status:</w:t>
      </w:r>
      <w:r>
        <w:t xml:space="preserve"> Draft for governance review, Chief Investigator review and sponsor sign-off. Do not enrol. Do not submit for ethics review until the items marked “to be confirmed” in the Approvals and Contracts sections, and the sponsor documents in Appendix O, are closed.</w:t>
      </w:r>
    </w:p>
    <w:p>
      <w:r>
        <w:rPr>
          <w:b/>
        </w:rPr>
        <w:t>Confidentiality:</w:t>
      </w:r>
      <w:r>
        <w:t xml:space="preserve"> This protocol contains confidential and proprietary information belonging to </w:t>
      </w:r>
      <w:r>
        <w:rPr>
          <w:strike/>
        </w:rPr>
        <w:t>Sleep and Health Clinic App Ltd</w:t>
      </w:r>
      <w:r>
        <w:rPr/>
        <w:t xml:space="preserve"> SHC Sleep Solutions Limited</w:t>
      </w:r>
      <w:r>
        <w:t>.</w:t>
      </w:r>
    </w:p>
    <w:p>
      <w:r>
        <w:rPr>
          <w:b/>
        </w:rPr>
        <w:t>Draft intended-purpose position (agreed 11 October 2026; final wording to be locked in LAZ-IP-001):</w:t>
      </w:r>
    </w:p>
    <w:p>
      <w:pPr>
        <w:pStyle w:val="BodyText"/>
      </w:pPr>
      <w:r>
        <w:t>Lazoo is software as a medical device, MHRA Class IIa (class 2a) working position, one layer. Draft intended purpose: insomnia diagnosis and monitoring. No therapy claims. Pregnancy in or out of scope: to be confirmed.</w:t>
      </w:r>
    </w:p>
    <w:p>
      <w:r>
        <w:t>This study does not test diagnostic accuracy and makes no clinical claim. See “Intended-Purpose Alignment”.</w:t>
      </w:r>
    </w:p>
    <w:p>
      <w:pPr>
        <w:pStyle w:val="Heading2"/>
      </w:pPr>
      <w:r>
        <w:t>Cover identifiers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Field</w:t>
            </w:r>
          </w:p>
        </w:tc>
        <w:tc>
          <w:tcPr>
            <w:tcW w:type="dxa" w:w="4320"/>
          </w:tcPr>
          <w:p>
            <w:r>
              <w:rPr>
                <w:b/>
              </w:rPr>
            </w:r>
            <w:r>
              <w:rPr>
                <w:b/>
                <w:sz w:val="18"/>
              </w:rPr>
              <w:t>Value</w:t>
            </w:r>
          </w:p>
        </w:tc>
      </w:tr>
      <w:tr>
        <w:tc>
          <w:tcPr>
            <w:tcW w:type="dxa" w:w="4320"/>
          </w:tcPr>
          <w:p>
            <w:r/>
            <w:r>
              <w:rPr>
                <w:sz w:val="18"/>
              </w:rPr>
              <w:t>Study Title</w:t>
            </w:r>
          </w:p>
        </w:tc>
        <w:tc>
          <w:tcPr>
            <w:tcW w:type="dxa" w:w="4320"/>
          </w:tcPr>
          <w:p>
            <w:r/>
            <w:r>
              <w:rPr>
                <w:sz w:val="18"/>
              </w:rPr>
              <w:t>Concurrent validity and usability of the Lazoo (SHC Digital Sleep Diary) compared with the Consensus Sleep Diary–Morning (CSD-M) in adults</w:t>
            </w:r>
          </w:p>
        </w:tc>
      </w:tr>
      <w:tr>
        <w:tc>
          <w:tcPr>
            <w:tcW w:type="dxa" w:w="4320"/>
          </w:tcPr>
          <w:p>
            <w:r/>
            <w:r>
              <w:rPr>
                <w:sz w:val="18"/>
              </w:rPr>
              <w:t>Protocol Number</w:t>
            </w:r>
          </w:p>
        </w:tc>
        <w:tc>
          <w:tcPr>
            <w:tcW w:type="dxa" w:w="4320"/>
          </w:tcPr>
          <w:p>
            <w:r/>
            <w:r>
              <w:rPr>
                <w:sz w:val="18"/>
              </w:rPr>
              <w:t>LAZ-VAL-001</w:t>
            </w:r>
          </w:p>
        </w:tc>
      </w:tr>
      <w:tr>
        <w:tc>
          <w:tcPr>
            <w:tcW w:type="dxa" w:w="4320"/>
          </w:tcPr>
          <w:p>
            <w:r/>
            <w:r>
              <w:rPr>
                <w:sz w:val="18"/>
              </w:rPr>
              <w:t>Version</w:t>
            </w:r>
          </w:p>
        </w:tc>
        <w:tc>
          <w:tcPr>
            <w:tcW w:type="dxa" w:w="4320"/>
          </w:tcPr>
          <w:p>
            <w:r/>
            <w:r>
              <w:rPr>
                <w:sz w:val="18"/>
              </w:rPr>
              <w:t>0.4</w:t>
            </w:r>
          </w:p>
        </w:tc>
      </w:tr>
      <w:tr>
        <w:tc>
          <w:tcPr>
            <w:tcW w:type="dxa" w:w="4320"/>
          </w:tcPr>
          <w:p>
            <w:r/>
            <w:r>
              <w:rPr>
                <w:sz w:val="18"/>
              </w:rPr>
              <w:t>Date</w:t>
            </w:r>
          </w:p>
        </w:tc>
        <w:tc>
          <w:tcPr>
            <w:tcW w:type="dxa" w:w="4320"/>
          </w:tcPr>
          <w:p>
            <w:r/>
            <w:r>
              <w:rPr>
                <w:sz w:val="18"/>
              </w:rPr>
              <w:t>11 October 2026</w:t>
            </w:r>
          </w:p>
        </w:tc>
      </w:tr>
      <w:tr>
        <w:tc>
          <w:tcPr>
            <w:tcW w:type="dxa" w:w="4320"/>
          </w:tcPr>
          <w:p>
            <w:r/>
            <w:r>
              <w:rPr>
                <w:sz w:val="18"/>
              </w:rPr>
              <w:t>Sponsor</w:t>
            </w:r>
          </w:p>
        </w:tc>
        <w:tc>
          <w:tcPr>
            <w:tcW w:type="dxa" w:w="4320"/>
          </w:tcPr>
          <w:p>
            <w:r/>
            <w:r>
              <w:rPr>
                <w:sz w:val="18"/>
                <w:strike/>
              </w:rPr>
              <w:t>Sleep and Health Clinic App Ltd</w:t>
            </w:r>
            <w:r>
              <w:rPr>
                <w:sz w:val="18"/>
              </w:rPr>
              <w:t xml:space="preserve"> SHC Sleep Solutions Limited</w:t>
            </w:r>
            <w:r>
              <w:rPr>
                <w:sz w:val="18"/>
              </w:rPr>
              <w:t xml:space="preserve"> (12467350). Sole sponsor.</w:t>
            </w:r>
          </w:p>
        </w:tc>
      </w:tr>
      <w:tr>
        <w:tc>
          <w:tcPr>
            <w:tcW w:type="dxa" w:w="4320"/>
          </w:tcPr>
          <w:p>
            <w:r/>
            <w:r>
              <w:rPr>
                <w:sz w:val="18"/>
              </w:rPr>
              <w:t>Funder</w:t>
            </w:r>
          </w:p>
        </w:tc>
        <w:tc>
          <w:tcPr>
            <w:tcW w:type="dxa" w:w="4320"/>
          </w:tcPr>
          <w:p>
            <w:r/>
            <w:r>
              <w:rPr>
                <w:sz w:val="18"/>
                <w:strike/>
              </w:rPr>
              <w:t>Sleep and Health Clinic App Ltd</w:t>
            </w:r>
            <w:r>
              <w:rPr>
                <w:sz w:val="18"/>
              </w:rPr>
              <w:t xml:space="preserve"> SHC Sleep Solutions Limited</w:t>
            </w:r>
            <w:r>
              <w:rPr>
                <w:sz w:val="18"/>
              </w:rPr>
              <w:t xml:space="preserve"> (12467350), which holds and administers all study funds. No external grant has been awarded as at 11 October 2026.</w:t>
            </w:r>
          </w:p>
        </w:tc>
      </w:tr>
      <w:tr>
        <w:tc>
          <w:tcPr>
            <w:tcW w:type="dxa" w:w="4320"/>
          </w:tcPr>
          <w:p>
            <w:r/>
            <w:r>
              <w:rPr>
                <w:sz w:val="18"/>
              </w:rPr>
              <w:t>Chief Investigator</w:t>
            </w:r>
          </w:p>
        </w:tc>
        <w:tc>
          <w:tcPr>
            <w:tcW w:type="dxa" w:w="4320"/>
          </w:tcPr>
          <w:p>
            <w:r/>
            <w:r>
              <w:rPr>
                <w:sz w:val="18"/>
              </w:rPr>
              <w:t>Dr Sara McNeillis (GMC 4118686) — proposed; not yet signed. Director of the sponsor (see Conflicts of Interest).</w:t>
            </w:r>
          </w:p>
        </w:tc>
      </w:tr>
      <w:tr>
        <w:tc>
          <w:tcPr>
            <w:tcW w:type="dxa" w:w="4320"/>
          </w:tcPr>
          <w:p>
            <w:r/>
            <w:r>
              <w:rPr>
                <w:sz w:val="18"/>
              </w:rPr>
              <w:t>Study site</w:t>
            </w:r>
          </w:p>
        </w:tc>
        <w:tc>
          <w:tcPr>
            <w:tcW w:type="dxa" w:w="4320"/>
          </w:tcPr>
          <w:p>
            <w:r/>
            <w:r>
              <w:rPr>
                <w:sz w:val="18"/>
              </w:rPr>
              <w:t>Partner site (to be confirmed): a hospital or university organisation engaged as a subcontracted site, paid by the sponsor under a site/services agreement.</w:t>
            </w:r>
          </w:p>
        </w:tc>
      </w:tr>
      <w:tr>
        <w:tc>
          <w:tcPr>
            <w:tcW w:type="dxa" w:w="4320"/>
          </w:tcPr>
          <w:p>
            <w:r/>
            <w:r>
              <w:rPr>
                <w:sz w:val="18"/>
              </w:rPr>
              <w:t>Principal Investigator (Partner site)</w:t>
            </w:r>
          </w:p>
        </w:tc>
        <w:tc>
          <w:tcPr>
            <w:tcW w:type="dxa" w:w="4320"/>
          </w:tcPr>
          <w:p>
            <w:r/>
            <w:r>
              <w:rPr>
                <w:sz w:val="18"/>
              </w:rPr>
              <w:t>To be confirmed once the Partner site is contracted</w:t>
            </w:r>
          </w:p>
        </w:tc>
      </w:tr>
      <w:tr>
        <w:tc>
          <w:tcPr>
            <w:tcW w:type="dxa" w:w="4320"/>
          </w:tcPr>
          <w:p>
            <w:r/>
            <w:r>
              <w:rPr>
                <w:sz w:val="18"/>
              </w:rPr>
              <w:t>Clinical advice</w:t>
            </w:r>
          </w:p>
        </w:tc>
        <w:tc>
          <w:tcPr>
            <w:tcW w:type="dxa" w:w="4320"/>
          </w:tcPr>
          <w:p>
            <w:r/>
            <w:r>
              <w:rPr>
                <w:sz w:val="18"/>
              </w:rPr>
              <w:t>Sleep and Health Clinic Ltd (08904119), advice only, under LAZ-AGR-001 (drafted; to be signed). Not a sponsor, site or funder.</w:t>
            </w:r>
          </w:p>
        </w:tc>
      </w:tr>
      <w:tr>
        <w:tc>
          <w:tcPr>
            <w:tcW w:type="dxa" w:w="4320"/>
          </w:tcPr>
          <w:p>
            <w:r/>
            <w:r>
              <w:rPr>
                <w:sz w:val="18"/>
              </w:rPr>
              <w:t>IRAS / REC</w:t>
            </w:r>
          </w:p>
        </w:tc>
        <w:tc>
          <w:tcPr>
            <w:tcW w:type="dxa" w:w="4320"/>
          </w:tcPr>
          <w:p>
            <w:r/>
            <w:r>
              <w:rPr>
                <w:sz w:val="18"/>
              </w:rPr>
              <w:t>Not submitted. No IRAS ID. No REC opinion. Route to be confirmed (see Ethics and Regulatory Considerations).</w:t>
            </w:r>
          </w:p>
        </w:tc>
      </w:tr>
      <w:tr>
        <w:tc>
          <w:tcPr>
            <w:tcW w:type="dxa" w:w="4320"/>
          </w:tcPr>
          <w:p>
            <w:r/>
            <w:r>
              <w:rPr>
                <w:sz w:val="18"/>
              </w:rPr>
              <w:t>Recruitment route</w:t>
            </w:r>
          </w:p>
        </w:tc>
        <w:tc>
          <w:tcPr>
            <w:tcW w:type="dxa" w:w="4320"/>
          </w:tcPr>
          <w:p>
            <w:r/>
            <w:r>
              <w:rPr>
                <w:sz w:val="18"/>
              </w:rPr>
              <w:t>Prolific (default), through the sponsor’s own account. No patient lists.</w:t>
            </w:r>
          </w:p>
        </w:tc>
      </w:tr>
    </w:tbl>
    <w:p/>
    <w:p>
      <w:pPr>
        <w:pStyle w:val="Heading1"/>
      </w:pPr>
      <w:r>
        <w:t>Protocol 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Version</w:t>
            </w:r>
          </w:p>
        </w:tc>
        <w:tc>
          <w:tcPr>
            <w:tcW w:type="dxa" w:w="2160"/>
          </w:tcPr>
          <w:p>
            <w:r>
              <w:rPr>
                <w:b/>
              </w:rPr>
            </w:r>
            <w:r>
              <w:rPr>
                <w:b/>
                <w:sz w:val="18"/>
              </w:rPr>
              <w:t>Date</w:t>
            </w:r>
          </w:p>
        </w:tc>
        <w:tc>
          <w:tcPr>
            <w:tcW w:type="dxa" w:w="2160"/>
          </w:tcPr>
          <w:p>
            <w:r>
              <w:rPr>
                <w:b/>
              </w:rPr>
            </w:r>
            <w:r>
              <w:rPr>
                <w:b/>
                <w:sz w:val="18"/>
              </w:rPr>
              <w:t>Author</w:t>
            </w:r>
          </w:p>
        </w:tc>
        <w:tc>
          <w:tcPr>
            <w:tcW w:type="dxa" w:w="2160"/>
          </w:tcPr>
          <w:p>
            <w:r>
              <w:rPr>
                <w:b/>
              </w:rPr>
            </w:r>
            <w:r>
              <w:rPr>
                <w:b/>
                <w:sz w:val="18"/>
              </w:rPr>
              <w:t>Change</w:t>
            </w:r>
          </w:p>
        </w:tc>
      </w:tr>
      <w:tr>
        <w:tc>
          <w:tcPr>
            <w:tcW w:type="dxa" w:w="2160"/>
          </w:tcPr>
          <w:p>
            <w:r/>
            <w:r>
              <w:rPr>
                <w:sz w:val="18"/>
              </w:rPr>
              <w:t>0.1</w:t>
            </w:r>
          </w:p>
        </w:tc>
        <w:tc>
          <w:tcPr>
            <w:tcW w:type="dxa" w:w="2160"/>
          </w:tcPr>
          <w:p>
            <w:r/>
            <w:r>
              <w:rPr>
                <w:sz w:val="18"/>
              </w:rPr>
              <w:t>28 August 2026</w:t>
            </w:r>
          </w:p>
        </w:tc>
        <w:tc>
          <w:tcPr>
            <w:tcW w:type="dxa" w:w="2160"/>
          </w:tcPr>
          <w:p>
            <w:r/>
            <w:r>
              <w:rPr>
                <w:sz w:val="18"/>
              </w:rPr>
              <w:t>Clinical research assistant</w:t>
            </w:r>
          </w:p>
        </w:tc>
        <w:tc>
          <w:tcPr>
            <w:tcW w:type="dxa" w:w="2160"/>
          </w:tcPr>
          <w:p>
            <w:r/>
            <w:r>
              <w:rPr>
                <w:sz w:val="18"/>
              </w:rPr>
              <w:t>Outline only (separate file 00-protocol-outline.md). Not this document.</w:t>
            </w:r>
          </w:p>
        </w:tc>
      </w:tr>
      <w:tr>
        <w:tc>
          <w:tcPr>
            <w:tcW w:type="dxa" w:w="2160"/>
          </w:tcPr>
          <w:p>
            <w:r/>
            <w:r>
              <w:rPr>
                <w:sz w:val="18"/>
              </w:rPr>
              <w:t>0.2</w:t>
            </w:r>
          </w:p>
        </w:tc>
        <w:tc>
          <w:tcPr>
            <w:tcW w:type="dxa" w:w="2160"/>
          </w:tcPr>
          <w:p>
            <w:r/>
            <w:r>
              <w:rPr>
                <w:sz w:val="18"/>
              </w:rPr>
              <w:t>28 August 2026</w:t>
            </w:r>
          </w:p>
        </w:tc>
        <w:tc>
          <w:tcPr>
            <w:tcW w:type="dxa" w:w="2160"/>
          </w:tcPr>
          <w:p>
            <w:r/>
            <w:r>
              <w:rPr>
                <w:sz w:val="18"/>
              </w:rPr>
              <w:t>Clinical research assistant</w:t>
            </w:r>
          </w:p>
        </w:tc>
        <w:tc>
          <w:tcPr>
            <w:tcW w:type="dxa" w:w="2160"/>
          </w:tcPr>
          <w:p>
            <w:r/>
            <w:r>
              <w:rPr>
                <w:sz w:val="18"/>
              </w:rPr>
              <w:t xml:space="preserve">First full protocol on the </w:t>
            </w:r>
            <w:r>
              <w:rPr>
                <w:sz w:val="18"/>
                <w:strike/>
              </w:rPr>
              <w:t>App Ltd</w:t>
            </w:r>
            <w:r>
              <w:rPr>
                <w:sz w:val="18"/>
              </w:rPr>
              <w:t xml:space="preserve"> SHC Sleep Solutions Limited</w:t>
            </w:r>
            <w:r>
              <w:rPr>
                <w:sz w:val="18"/>
              </w:rPr>
              <w:t xml:space="preserve"> shell. Calculated-TST primary endpoint, CSD-M mapping by construct, feasibility floor of 30 completers pending SAP, licence conversations listed as conversations, not sites. Not for IRAS.</w:t>
            </w:r>
          </w:p>
        </w:tc>
      </w:tr>
      <w:tr>
        <w:tc>
          <w:tcPr>
            <w:tcW w:type="dxa" w:w="2160"/>
          </w:tcPr>
          <w:p>
            <w:r/>
            <w:r>
              <w:rPr>
                <w:sz w:val="18"/>
              </w:rPr>
              <w:t>0.2 (change note)</w:t>
            </w:r>
          </w:p>
        </w:tc>
        <w:tc>
          <w:tcPr>
            <w:tcW w:type="dxa" w:w="2160"/>
          </w:tcPr>
          <w:p>
            <w:r/>
            <w:r>
              <w:rPr>
                <w:sz w:val="18"/>
              </w:rPr>
              <w:t>3 October 2026</w:t>
            </w:r>
          </w:p>
        </w:tc>
        <w:tc>
          <w:tcPr>
            <w:tcW w:type="dxa" w:w="2160"/>
          </w:tcPr>
          <w:p>
            <w:r/>
            <w:r>
              <w:rPr>
                <w:sz w:val="18"/>
              </w:rPr>
              <w:t>Clinical research assistant</w:t>
            </w:r>
          </w:p>
        </w:tc>
        <w:tc>
          <w:tcPr>
            <w:tcW w:type="dxa" w:w="2160"/>
          </w:tcPr>
          <w:p>
            <w:r/>
            <w:r>
              <w:rPr>
                <w:sz w:val="18"/>
              </w:rPr>
              <w:t>Safety purpose line linked to the clinical claim, then to be confirmed. Vigilance pathway and classification-reopen trigger removed. UK MDR clinical-investigation status left undecided. TST, SOL, WASO and SE formulas recorded as study arithmetic, not a product claim.</w:t>
            </w:r>
          </w:p>
        </w:tc>
      </w:tr>
      <w:tr>
        <w:tc>
          <w:tcPr>
            <w:tcW w:type="dxa" w:w="2160"/>
          </w:tcPr>
          <w:p>
            <w:r/>
            <w:r>
              <w:rPr>
                <w:sz w:val="18"/>
              </w:rPr>
              <w:t>0.2 (change note)</w:t>
            </w:r>
          </w:p>
        </w:tc>
        <w:tc>
          <w:tcPr>
            <w:tcW w:type="dxa" w:w="2160"/>
          </w:tcPr>
          <w:p>
            <w:r/>
            <w:r>
              <w:rPr>
                <w:sz w:val="18"/>
              </w:rPr>
              <w:t>5 October 2026</w:t>
            </w:r>
          </w:p>
        </w:tc>
        <w:tc>
          <w:tcPr>
            <w:tcW w:type="dxa" w:w="2160"/>
          </w:tcPr>
          <w:p>
            <w:r/>
            <w:r>
              <w:rPr>
                <w:sz w:val="18"/>
              </w:rPr>
              <w:t>Clinical research assistant</w:t>
            </w:r>
          </w:p>
        </w:tc>
        <w:tc>
          <w:tcPr>
            <w:tcW w:type="dxa" w:w="2160"/>
          </w:tcPr>
          <w:p>
            <w:r/>
            <w:r>
              <w:rPr>
                <w:sz w:val="18"/>
              </w:rPr>
              <w:t>Change note 5 October 2026: Sara McNeillis lock. Working position is MHRA SaMD Class IIa (class 2a), one layer only. This replaces the 3 October 2026 Class IIb working position. Purpose, claims and pregnancy left to be confirmed.</w:t>
            </w:r>
          </w:p>
        </w:tc>
      </w:tr>
      <w:tr>
        <w:tc>
          <w:tcPr>
            <w:tcW w:type="dxa" w:w="2160"/>
          </w:tcPr>
          <w:p>
            <w:r/>
            <w:r>
              <w:rPr>
                <w:sz w:val="18"/>
              </w:rPr>
              <w:t>0.3</w:t>
            </w:r>
          </w:p>
        </w:tc>
        <w:tc>
          <w:tcPr>
            <w:tcW w:type="dxa" w:w="2160"/>
          </w:tcPr>
          <w:p>
            <w:r/>
            <w:r>
              <w:rPr>
                <w:sz w:val="18"/>
              </w:rPr>
              <w:t>11 October 2026</w:t>
            </w:r>
          </w:p>
        </w:tc>
        <w:tc>
          <w:tcPr>
            <w:tcW w:type="dxa" w:w="2160"/>
          </w:tcPr>
          <w:p>
            <w:r/>
            <w:r>
              <w:rPr>
                <w:sz w:val="18"/>
              </w:rPr>
              <w:t>Clinical research assistant</w:t>
            </w:r>
          </w:p>
        </w:tc>
        <w:tc>
          <w:tcPr>
            <w:tcW w:type="dxa" w:w="2160"/>
          </w:tcPr>
          <w:p>
            <w:r/>
            <w:r>
              <w:rPr>
                <w:sz w:val="18"/>
              </w:rPr>
              <w:t xml:space="preserve">Governance restructure for intellectual-property reasons: </w:t>
            </w:r>
            <w:r>
              <w:rPr>
                <w:sz w:val="18"/>
                <w:strike/>
              </w:rPr>
              <w:t xml:space="preserve">App Ltd</w:t>
            </w:r>
            <w:r>
              <w:rPr>
                <w:sz w:val="18"/>
              </w:rPr>
              <w:t xml:space="preserve"> SHC Sleep Solutions Limited</w:t>
            </w:r>
            <w:r>
              <w:rPr>
                <w:sz w:val="18"/>
              </w:rPr>
              <w:t xml:space="preserve"> sole sponsor and fund holder; Partner site (to be confirmed) as a subcontracted, sponsor-paid site; all intellectual property, data and results owned by </w:t>
            </w:r>
            <w:r>
              <w:rPr>
                <w:sz w:val="18"/>
                <w:strike/>
              </w:rPr>
              <w:t>App Ltd</w:t>
            </w:r>
            <w:r>
              <w:rPr>
                <w:sz w:val="18"/>
              </w:rPr>
              <w:t xml:space="preserve"> SHC Sleep Solutions Limited</w:t>
            </w:r>
            <w:r>
              <w:rPr>
                <w:sz w:val="18"/>
              </w:rPr>
              <w:t>; publication subject to sponsor review; confidentiality; Sleep and Health Clinic Ltd advice only under LAZ-AGR-001 (to be signed), related party disclosed. New sections on intended-purpose alignment, sponsorship and funding, contracts, insurance and indemnity, roles and delegation. Draft intended purpose aligned (insomnia diagnosis and monitoring; no therapy claims). Approvals, monitoring and appendices updated. Superseded by version 0.4.</w:t>
            </w:r>
          </w:p>
        </w:tc>
      </w:tr>
      <w:tr>
        <w:tc>
          <w:tcPr>
            <w:tcW w:type="dxa" w:w="2160"/>
          </w:tcPr>
          <w:p>
            <w:r/>
            <w:r>
              <w:rPr>
                <w:sz w:val="18"/>
              </w:rPr>
              <w:t>0.4</w:t>
            </w:r>
          </w:p>
        </w:tc>
        <w:tc>
          <w:tcPr>
            <w:tcW w:type="dxa" w:w="2160"/>
          </w:tcPr>
          <w:p>
            <w:r/>
            <w:r>
              <w:rPr>
                <w:sz w:val="18"/>
              </w:rPr>
              <w:t>11 October 2026</w:t>
            </w:r>
          </w:p>
        </w:tc>
        <w:tc>
          <w:tcPr>
            <w:tcW w:type="dxa" w:w="2160"/>
          </w:tcPr>
          <w:p>
            <w:r/>
            <w:r>
              <w:rPr>
                <w:sz w:val="18"/>
              </w:rPr>
              <w:t>Clinical research assistant, after research governance review</w:t>
            </w:r>
          </w:p>
        </w:tc>
        <w:tc>
          <w:tcPr>
            <w:tcW w:type="dxa" w:w="2160"/>
          </w:tcPr>
          <w:p>
            <w:r/>
            <w:r>
              <w:rPr>
                <w:sz w:val="18"/>
              </w:rPr>
              <w:t>Sponsor oversight and sponsor documents list (Appendix O); no-fault compensation; Prolific as default recruitment route; free-text and data-note rules; partner site as processor; legitimate interests proposed as lawful basis (data protection officer to confirm); partner background-IP and know-how carve-outs; results transparency within 12 months and final report; conflict-of-interest safeguards; UK MDR 2002 citation corrected to regulation 16; publication periods checked against the current HRA model Clinical Investigation Agreement. Sections 3 and 16 otherwise unchanged. Later on 11 October 2026: model-agreement source copies filed and cited; exclusion wording aligned; DMP version 0.3 referenced.</w:t>
            </w:r>
          </w:p>
        </w:tc>
      </w:tr>
    </w:tbl>
    <w:p/>
    <w:p>
      <w:r>
        <w:t>Superseded versions, including version 0.3, remain on file. The verbatim text of the 3 and 5 October 2026 change notes is kept in version 0.2. This version 0.4 is a draft until the Chief Investigator and a person authorised to sign for the sponsor countersign the approval table.</w:t>
      </w:r>
    </w:p>
    <w:p>
      <w:pPr>
        <w:pStyle w:val="Heading1"/>
      </w:pPr>
      <w:r>
        <w:t>Document Approvals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Role</w:t>
            </w:r>
          </w:p>
        </w:tc>
        <w:tc>
          <w:tcPr>
            <w:tcW w:type="dxa" w:w="2160"/>
          </w:tcPr>
          <w:p>
            <w:r>
              <w:rPr>
                <w:b/>
              </w:rPr>
            </w:r>
            <w:r>
              <w:rPr>
                <w:b/>
                <w:sz w:val="18"/>
              </w:rPr>
              <w:t>Name</w:t>
            </w:r>
          </w:p>
        </w:tc>
        <w:tc>
          <w:tcPr>
            <w:tcW w:type="dxa" w:w="2160"/>
          </w:tcPr>
          <w:p>
            <w:r>
              <w:rPr>
                <w:b/>
              </w:rPr>
            </w:r>
            <w:r>
              <w:rPr>
                <w:b/>
                <w:sz w:val="18"/>
              </w:rPr>
              <w:t>Date</w:t>
            </w:r>
          </w:p>
        </w:tc>
        <w:tc>
          <w:tcPr>
            <w:tcW w:type="dxa" w:w="2160"/>
          </w:tcPr>
          <w:p>
            <w:r>
              <w:rPr>
                <w:b/>
              </w:rPr>
            </w:r>
            <w:r>
              <w:rPr>
                <w:b/>
                <w:sz w:val="18"/>
              </w:rPr>
              <w:t>Signature</w:t>
            </w:r>
          </w:p>
        </w:tc>
      </w:tr>
      <w:tr>
        <w:tc>
          <w:tcPr>
            <w:tcW w:type="dxa" w:w="2160"/>
          </w:tcPr>
          <w:p>
            <w:r/>
            <w:r>
              <w:rPr>
                <w:sz w:val="18"/>
              </w:rPr>
              <w:t>Chief Investigator (proposed)</w:t>
            </w:r>
          </w:p>
        </w:tc>
        <w:tc>
          <w:tcPr>
            <w:tcW w:type="dxa" w:w="2160"/>
          </w:tcPr>
          <w:p>
            <w:r/>
            <w:r>
              <w:rPr>
                <w:sz w:val="18"/>
              </w:rPr>
              <w:t>Dr Sara McNeillis</w:t>
            </w:r>
          </w:p>
        </w:tc>
        <w:tc>
          <w:tcPr>
            <w:tcW w:type="dxa" w:w="2160"/>
          </w:tcPr>
          <w:p>
            <w:r/>
          </w:p>
        </w:tc>
        <w:tc>
          <w:tcPr>
            <w:tcW w:type="dxa" w:w="2160"/>
          </w:tcPr>
          <w:p>
            <w:r/>
          </w:p>
        </w:tc>
      </w:tr>
      <w:tr>
        <w:tc>
          <w:tcPr>
            <w:tcW w:type="dxa" w:w="2160"/>
          </w:tcPr>
          <w:p>
            <w:r/>
            <w:r>
              <w:rPr>
                <w:sz w:val="18"/>
              </w:rPr>
              <w:t>On behalf of sponsor (</w:t>
            </w:r>
            <w:r>
              <w:rPr>
                <w:sz w:val="18"/>
                <w:strike/>
              </w:rPr>
              <w:t>Sleep and Health Clinic App Ltd</w:t>
            </w:r>
            <w:r>
              <w:rPr>
                <w:sz w:val="18"/>
              </w:rPr>
              <w:t xml:space="preserve"> SHC Sleep Solutions Limited</w:t>
            </w:r>
            <w:r>
              <w:rPr>
                <w:sz w:val="18"/>
              </w:rPr>
              <w:t>)</w:t>
            </w:r>
          </w:p>
        </w:tc>
        <w:tc>
          <w:tcPr>
            <w:tcW w:type="dxa" w:w="2160"/>
          </w:tcPr>
          <w:p>
            <w:r/>
            <w:r>
              <w:rPr>
                <w:sz w:val="18"/>
              </w:rPr>
              <w:t>Authorised signatory to be confirmed</w:t>
            </w:r>
          </w:p>
        </w:tc>
        <w:tc>
          <w:tcPr>
            <w:tcW w:type="dxa" w:w="2160"/>
          </w:tcPr>
          <w:p>
            <w:r/>
          </w:p>
        </w:tc>
        <w:tc>
          <w:tcPr>
            <w:tcW w:type="dxa" w:w="2160"/>
          </w:tcPr>
          <w:p>
            <w:r/>
          </w:p>
        </w:tc>
      </w:tr>
      <w:tr>
        <w:tc>
          <w:tcPr>
            <w:tcW w:type="dxa" w:w="2160"/>
          </w:tcPr>
          <w:p>
            <w:r/>
            <w:r>
              <w:rPr>
                <w:sz w:val="18"/>
              </w:rPr>
              <w:t>Principal Investigator, Partner site (to be confirmed)</w:t>
            </w:r>
          </w:p>
        </w:tc>
        <w:tc>
          <w:tcPr>
            <w:tcW w:type="dxa" w:w="2160"/>
          </w:tcPr>
          <w:p>
            <w:r/>
            <w:r>
              <w:rPr>
                <w:sz w:val="18"/>
              </w:rPr>
              <w:t>To be confirmed</w:t>
            </w:r>
          </w:p>
        </w:tc>
        <w:tc>
          <w:tcPr>
            <w:tcW w:type="dxa" w:w="2160"/>
          </w:tcPr>
          <w:p>
            <w:r/>
          </w:p>
        </w:tc>
        <w:tc>
          <w:tcPr>
            <w:tcW w:type="dxa" w:w="2160"/>
          </w:tcPr>
          <w:p>
            <w:r/>
          </w:p>
        </w:tc>
      </w:tr>
      <w:tr>
        <w:tc>
          <w:tcPr>
            <w:tcW w:type="dxa" w:w="2160"/>
          </w:tcPr>
          <w:p>
            <w:r/>
            <w:r>
              <w:rPr>
                <w:sz w:val="18"/>
              </w:rPr>
              <w:t>Independent statistician (SAP)</w:t>
            </w:r>
          </w:p>
        </w:tc>
        <w:tc>
          <w:tcPr>
            <w:tcW w:type="dxa" w:w="2160"/>
          </w:tcPr>
          <w:p>
            <w:r/>
            <w:r>
              <w:rPr>
                <w:sz w:val="18"/>
              </w:rPr>
              <w:t>To be confirmed (not appointed)</w:t>
            </w:r>
          </w:p>
        </w:tc>
        <w:tc>
          <w:tcPr>
            <w:tcW w:type="dxa" w:w="2160"/>
          </w:tcPr>
          <w:p>
            <w:r/>
          </w:p>
        </w:tc>
        <w:tc>
          <w:tcPr>
            <w:tcW w:type="dxa" w:w="2160"/>
          </w:tcPr>
          <w:p>
            <w:r/>
          </w:p>
        </w:tc>
      </w:tr>
      <w:tr>
        <w:tc>
          <w:tcPr>
            <w:tcW w:type="dxa" w:w="2160"/>
          </w:tcPr>
          <w:p>
            <w:r/>
            <w:r>
              <w:rPr>
                <w:sz w:val="18"/>
              </w:rPr>
              <w:t>Data protection / DPO review</w:t>
            </w:r>
          </w:p>
        </w:tc>
        <w:tc>
          <w:tcPr>
            <w:tcW w:type="dxa" w:w="2160"/>
          </w:tcPr>
          <w:p>
            <w:r/>
            <w:r>
              <w:rPr>
                <w:sz w:val="18"/>
              </w:rPr>
              <w:t>To be confirmed (DPO not named)</w:t>
            </w:r>
          </w:p>
        </w:tc>
        <w:tc>
          <w:tcPr>
            <w:tcW w:type="dxa" w:w="2160"/>
          </w:tcPr>
          <w:p>
            <w:r/>
          </w:p>
        </w:tc>
        <w:tc>
          <w:tcPr>
            <w:tcW w:type="dxa" w:w="2160"/>
          </w:tcPr>
          <w:p>
            <w:r/>
          </w:p>
        </w:tc>
      </w:tr>
    </w:tbl>
    <w:p/>
    <w:p>
      <w:r>
        <w:t>No signature on this table has been collected. The protocol is not approved for enrolment. Internal research-governance and compliance reviews are recorded in the trial master file and are not a substitute for these signatures.</w:t>
      </w:r>
    </w:p>
    <w:p>
      <w:pPr>
        <w:pStyle w:val="Heading1"/>
      </w:pPr>
      <w:r>
        <w:t>Table of Contents</w:t>
      </w:r>
    </w:p>
    <w:p>
      <w:pPr>
        <w:pStyle w:val="ListNumber"/>
      </w:pPr>
      <w:r>
        <w:t>Study Summary</w:t>
      </w:r>
    </w:p>
    <w:p>
      <w:pPr>
        <w:pStyle w:val="ListNumber"/>
      </w:pPr>
      <w:r>
        <w:t>Background and Rationale</w:t>
      </w:r>
    </w:p>
    <w:p>
      <w:pPr>
        <w:pStyle w:val="ListNumber"/>
      </w:pPr>
      <w:r>
        <w:t>Intended-Purpose Alignment</w:t>
      </w:r>
    </w:p>
    <w:p>
      <w:pPr>
        <w:pStyle w:val="ListNumber"/>
      </w:pPr>
      <w:r>
        <w:t>Study Objectives</w:t>
      </w:r>
    </w:p>
    <w:p>
      <w:pPr>
        <w:pStyle w:val="ListNumber"/>
      </w:pPr>
      <w:r>
        <w:t>Study Design</w:t>
      </w:r>
    </w:p>
    <w:p>
      <w:pPr>
        <w:pStyle w:val="ListNumber"/>
      </w:pPr>
      <w:r>
        <w:t>Study Population</w:t>
      </w:r>
    </w:p>
    <w:p>
      <w:pPr>
        <w:pStyle w:val="ListNumber"/>
      </w:pPr>
      <w:r>
        <w:t>Inclusion Criteria</w:t>
      </w:r>
    </w:p>
    <w:p>
      <w:pPr>
        <w:pStyle w:val="ListNumber"/>
      </w:pPr>
      <w:r>
        <w:t>Exclusion Criteria</w:t>
      </w:r>
    </w:p>
    <w:p>
      <w:pPr>
        <w:pStyle w:val="ListNumber"/>
      </w:pPr>
      <w:r>
        <w:t>Study Procedures</w:t>
      </w:r>
    </w:p>
    <w:p>
      <w:pPr>
        <w:pStyle w:val="ListNumber"/>
      </w:pPr>
      <w:r>
        <w:t>Study Assessments</w:t>
      </w:r>
    </w:p>
    <w:p>
      <w:pPr>
        <w:pStyle w:val="ListNumber"/>
      </w:pPr>
      <w:r>
        <w:t>Study Schedule</w:t>
      </w:r>
    </w:p>
    <w:p>
      <w:pPr>
        <w:pStyle w:val="ListNumber"/>
      </w:pPr>
      <w:r>
        <w:t>Endpoints</w:t>
      </w:r>
    </w:p>
    <w:p>
      <w:pPr>
        <w:pStyle w:val="ListNumber"/>
      </w:pPr>
      <w:r>
        <w:t>Safety Reporting</w:t>
      </w:r>
    </w:p>
    <w:p>
      <w:pPr>
        <w:pStyle w:val="ListNumber"/>
      </w:pPr>
      <w:r>
        <w:t>Data Management</w:t>
      </w:r>
    </w:p>
    <w:p>
      <w:pPr>
        <w:pStyle w:val="ListNumber"/>
      </w:pPr>
      <w:r>
        <w:t>Statistical Analysis Plan</w:t>
      </w:r>
    </w:p>
    <w:p>
      <w:pPr>
        <w:pStyle w:val="ListNumber"/>
      </w:pPr>
      <w:r>
        <w:t>Ethics and Regulatory Considerations</w:t>
      </w:r>
    </w:p>
    <w:p>
      <w:pPr>
        <w:pStyle w:val="ListNumber"/>
      </w:pPr>
      <w:r>
        <w:t>Sponsorship, Funding and Contracts</w:t>
      </w:r>
    </w:p>
    <w:p>
      <w:pPr>
        <w:pStyle w:val="ListNumber"/>
      </w:pPr>
      <w:r>
        <w:t>Insurance and Indemnity</w:t>
      </w:r>
    </w:p>
    <w:p>
      <w:pPr>
        <w:pStyle w:val="ListNumber"/>
      </w:pPr>
      <w:r>
        <w:t>Patient and Public Involvement</w:t>
      </w:r>
    </w:p>
    <w:p>
      <w:pPr>
        <w:pStyle w:val="ListNumber"/>
      </w:pPr>
      <w:r>
        <w:t>Quality Assurance and Monitoring</w:t>
      </w:r>
    </w:p>
    <w:p>
      <w:pPr>
        <w:pStyle w:val="ListNumber"/>
      </w:pPr>
      <w:r>
        <w:t>Risk Management</w:t>
      </w:r>
    </w:p>
    <w:p>
      <w:pPr>
        <w:pStyle w:val="ListNumber"/>
      </w:pPr>
      <w:r>
        <w:t>Information Governance and UK GDPR</w:t>
      </w:r>
    </w:p>
    <w:p>
      <w:pPr>
        <w:pStyle w:val="ListNumber"/>
      </w:pPr>
      <w:r>
        <w:t>Intellectual Property and Data Ownership</w:t>
      </w:r>
    </w:p>
    <w:p>
      <w:pPr>
        <w:pStyle w:val="ListNumber"/>
      </w:pPr>
      <w:r>
        <w:t>Dissemination and Publication</w:t>
      </w:r>
    </w:p>
    <w:p>
      <w:pPr>
        <w:pStyle w:val="ListNumber"/>
      </w:pPr>
      <w:r>
        <w:t>Study Management, Roles and Delegation</w:t>
      </w:r>
    </w:p>
    <w:p>
      <w:pPr>
        <w:pStyle w:val="ListNumber"/>
      </w:pPr>
      <w:r>
        <w:t>Archiving</w:t>
      </w:r>
    </w:p>
    <w:p>
      <w:pPr>
        <w:pStyle w:val="ListNumber"/>
      </w:pPr>
      <w:r>
        <w:t>References</w:t>
      </w:r>
    </w:p>
    <w:p>
      <w:pPr>
        <w:pStyle w:val="ListNumber"/>
      </w:pPr>
      <w:r>
        <w:t>Appendices (including Appendix O, Sponsor documents)</w:t>
      </w:r>
    </w:p>
    <w:p>
      <w:r>
        <w:t>Word heading styles are Heading 1 for these sections. Page numbers to be updated on issue of version 1.0.</w:t>
      </w:r>
    </w:p>
    <w:p>
      <w:pPr>
        <w:pStyle w:val="Heading1"/>
      </w:pPr>
      <w:r>
        <w:t>1. Study Summary</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Item</w:t>
            </w:r>
          </w:p>
        </w:tc>
        <w:tc>
          <w:tcPr>
            <w:tcW w:type="dxa" w:w="4320"/>
          </w:tcPr>
          <w:p>
            <w:r>
              <w:rPr>
                <w:b/>
              </w:rPr>
            </w:r>
            <w:r>
              <w:rPr>
                <w:b/>
                <w:sz w:val="18"/>
              </w:rPr>
              <w:t>Record</w:t>
            </w:r>
          </w:p>
        </w:tc>
      </w:tr>
      <w:tr>
        <w:tc>
          <w:tcPr>
            <w:tcW w:type="dxa" w:w="4320"/>
          </w:tcPr>
          <w:p>
            <w:r/>
            <w:r>
              <w:rPr>
                <w:sz w:val="18"/>
              </w:rPr>
              <w:t>Study ID</w:t>
            </w:r>
          </w:p>
        </w:tc>
        <w:tc>
          <w:tcPr>
            <w:tcW w:type="dxa" w:w="4320"/>
          </w:tcPr>
          <w:p>
            <w:r/>
            <w:r>
              <w:rPr>
                <w:sz w:val="18"/>
              </w:rPr>
              <w:t>LAZ-VAL-001</w:t>
            </w:r>
          </w:p>
        </w:tc>
      </w:tr>
      <w:tr>
        <w:tc>
          <w:tcPr>
            <w:tcW w:type="dxa" w:w="4320"/>
          </w:tcPr>
          <w:p>
            <w:r/>
            <w:r>
              <w:rPr>
                <w:sz w:val="18"/>
              </w:rPr>
              <w:t>Short title</w:t>
            </w:r>
          </w:p>
        </w:tc>
        <w:tc>
          <w:tcPr>
            <w:tcW w:type="dxa" w:w="4320"/>
          </w:tcPr>
          <w:p>
            <w:r/>
            <w:r>
              <w:rPr>
                <w:sz w:val="18"/>
              </w:rPr>
              <w:t>Lazoo vs CSD-M: concurrent validity and usability</w:t>
            </w:r>
          </w:p>
        </w:tc>
      </w:tr>
      <w:tr>
        <w:tc>
          <w:tcPr>
            <w:tcW w:type="dxa" w:w="4320"/>
          </w:tcPr>
          <w:p>
            <w:r/>
            <w:r>
              <w:rPr>
                <w:sz w:val="18"/>
              </w:rPr>
              <w:t>Sponsor</w:t>
            </w:r>
          </w:p>
        </w:tc>
        <w:tc>
          <w:tcPr>
            <w:tcW w:type="dxa" w:w="4320"/>
          </w:tcPr>
          <w:p>
            <w:r/>
            <w:r>
              <w:rPr>
                <w:sz w:val="18"/>
                <w:strike/>
              </w:rPr>
              <w:t>Sleep and Health Clinic App Ltd</w:t>
            </w:r>
            <w:r>
              <w:rPr>
                <w:sz w:val="18"/>
              </w:rPr>
              <w:t xml:space="preserve"> SHC Sleep Solutions Limited</w:t>
            </w:r>
            <w:r>
              <w:rPr>
                <w:sz w:val="18"/>
              </w:rPr>
              <w:t>, company number 12467350, registered office 32 Watford Road, Northwood HA6 3NT. Research contact: admin@sleepandhealth.org. Sole sponsor and holder of study funds.</w:t>
            </w:r>
          </w:p>
        </w:tc>
      </w:tr>
      <w:tr>
        <w:tc>
          <w:tcPr>
            <w:tcW w:type="dxa" w:w="4320"/>
          </w:tcPr>
          <w:p>
            <w:r/>
            <w:r>
              <w:rPr>
                <w:sz w:val="18"/>
              </w:rPr>
              <w:t>Study site</w:t>
            </w:r>
          </w:p>
        </w:tc>
        <w:tc>
          <w:tcPr>
            <w:tcW w:type="dxa" w:w="4320"/>
          </w:tcPr>
          <w:p>
            <w:r/>
            <w:r>
              <w:rPr>
                <w:sz w:val="18"/>
              </w:rPr>
              <w:t>Partner site (to be confirmed), engaged and paid by the sponsor as a subcontracted site under a site/services agreement.</w:t>
            </w:r>
          </w:p>
        </w:tc>
      </w:tr>
      <w:tr>
        <w:tc>
          <w:tcPr>
            <w:tcW w:type="dxa" w:w="4320"/>
          </w:tcPr>
          <w:p>
            <w:r/>
            <w:r>
              <w:rPr>
                <w:sz w:val="18"/>
              </w:rPr>
              <w:t>Clinical advice</w:t>
            </w:r>
          </w:p>
        </w:tc>
        <w:tc>
          <w:tcPr>
            <w:tcW w:type="dxa" w:w="4320"/>
          </w:tcPr>
          <w:p>
            <w:r/>
            <w:r>
              <w:rPr>
                <w:sz w:val="18"/>
              </w:rPr>
              <w:t>Sleep and Health Clinic Ltd (08904119), advice only, under LAZ-AGR-001 (to be signed). Related party: shared directors.</w:t>
            </w:r>
          </w:p>
        </w:tc>
      </w:tr>
      <w:tr>
        <w:tc>
          <w:tcPr>
            <w:tcW w:type="dxa" w:w="4320"/>
          </w:tcPr>
          <w:p>
            <w:r/>
            <w:r>
              <w:rPr>
                <w:sz w:val="18"/>
              </w:rPr>
              <w:t>Chief Investigator</w:t>
            </w:r>
          </w:p>
        </w:tc>
        <w:tc>
          <w:tcPr>
            <w:tcW w:type="dxa" w:w="4320"/>
          </w:tcPr>
          <w:p>
            <w:r/>
            <w:r>
              <w:rPr>
                <w:sz w:val="18"/>
              </w:rPr>
              <w:t>Dr Sara McNeillis (GMC 4118686), proposed</w:t>
            </w:r>
          </w:p>
        </w:tc>
      </w:tr>
      <w:tr>
        <w:tc>
          <w:tcPr>
            <w:tcW w:type="dxa" w:w="4320"/>
          </w:tcPr>
          <w:p>
            <w:r/>
            <w:r>
              <w:rPr>
                <w:sz w:val="18"/>
              </w:rPr>
              <w:t>Design</w:t>
            </w:r>
          </w:p>
        </w:tc>
        <w:tc>
          <w:tcPr>
            <w:tcW w:type="dxa" w:w="4320"/>
          </w:tcPr>
          <w:p>
            <w:r/>
            <w:r>
              <w:rPr>
                <w:sz w:val="18"/>
              </w:rPr>
              <w:t>Prospective, paired, 14 consecutive mornings. Concurrent validity (measurement agreement) and usability. Non-CTIMP. UK MDR clinical-investigation status to be confirmed.</w:t>
            </w:r>
          </w:p>
        </w:tc>
      </w:tr>
      <w:tr>
        <w:tc>
          <w:tcPr>
            <w:tcW w:type="dxa" w:w="4320"/>
          </w:tcPr>
          <w:p>
            <w:r/>
            <w:r>
              <w:rPr>
                <w:sz w:val="18"/>
              </w:rPr>
              <w:t>Product</w:t>
            </w:r>
          </w:p>
        </w:tc>
        <w:tc>
          <w:tcPr>
            <w:tcW w:type="dxa" w:w="4320"/>
          </w:tcPr>
          <w:p>
            <w:r/>
            <w:r>
              <w:rPr>
                <w:sz w:val="18"/>
              </w:rPr>
              <w:t>Lazoo, software as a medical device, MHRA Class IIa (class 2a) working position. One layer. Restricted research build: Apple Unlisted App Distribution (not publicly searchable) and Google Play closed testing. In-app study code required. Draft intended purpose: insomnia diagnosis and monitoring; no therapy claims; pregnancy to be confirmed.</w:t>
            </w:r>
          </w:p>
        </w:tc>
      </w:tr>
      <w:tr>
        <w:tc>
          <w:tcPr>
            <w:tcW w:type="dxa" w:w="4320"/>
          </w:tcPr>
          <w:p>
            <w:r/>
            <w:r>
              <w:rPr>
                <w:sz w:val="18"/>
              </w:rPr>
              <w:t>Comparator</w:t>
            </w:r>
          </w:p>
        </w:tc>
        <w:tc>
          <w:tcPr>
            <w:tcW w:type="dxa" w:w="4320"/>
          </w:tcPr>
          <w:p>
            <w:r/>
            <w:r>
              <w:rPr>
                <w:sz w:val="18"/>
              </w:rPr>
              <w:t>Consensus Sleep Diary–Morning (CSD-M), Carney et al. Sleep 2012;35:287–302. doi:10.5665/sleep.1642. An industry licence from Dr Colleen Carney is required before verbatim stems are used or the CSD-M PDF is filed in the trial master file. This protocol cites the paper and maps constructs; it does not reproduce the form.</w:t>
            </w:r>
          </w:p>
        </w:tc>
      </w:tr>
      <w:tr>
        <w:tc>
          <w:tcPr>
            <w:tcW w:type="dxa" w:w="4320"/>
          </w:tcPr>
          <w:p>
            <w:r/>
            <w:r>
              <w:rPr>
                <w:sz w:val="18"/>
              </w:rPr>
              <w:t>Participants</w:t>
            </w:r>
          </w:p>
        </w:tc>
        <w:tc>
          <w:tcPr>
            <w:tcW w:type="dxa" w:w="4320"/>
          </w:tcPr>
          <w:p>
            <w:r/>
            <w:r>
              <w:rPr>
                <w:sz w:val="18"/>
              </w:rPr>
              <w:t>Adult volunteers recruited by the sponsor through Prolific (the default recruitment route, using the sponsor’s own account), completing both diaries remotely. No recruitment from NHS patient lists, hospital patient lists or the patient lists of Sleep and Health Clinic Ltd.</w:t>
            </w:r>
          </w:p>
        </w:tc>
      </w:tr>
      <w:tr>
        <w:tc>
          <w:tcPr>
            <w:tcW w:type="dxa" w:w="4320"/>
          </w:tcPr>
          <w:p>
            <w:r/>
            <w:r>
              <w:rPr>
                <w:sz w:val="18"/>
              </w:rPr>
              <w:t>Duration</w:t>
            </w:r>
          </w:p>
        </w:tc>
        <w:tc>
          <w:tcPr>
            <w:tcW w:type="dxa" w:w="4320"/>
          </w:tcPr>
          <w:p>
            <w:r/>
            <w:r>
              <w:rPr>
                <w:sz w:val="18"/>
              </w:rPr>
              <w:t>Screening and training, 14 diary mornings, and a day-15 usability close-out.</w:t>
            </w:r>
          </w:p>
        </w:tc>
      </w:tr>
      <w:tr>
        <w:tc>
          <w:tcPr>
            <w:tcW w:type="dxa" w:w="4320"/>
          </w:tcPr>
          <w:p>
            <w:r/>
            <w:r>
              <w:rPr>
                <w:sz w:val="18"/>
              </w:rPr>
              <w:t>Sample size</w:t>
            </w:r>
          </w:p>
        </w:tc>
        <w:tc>
          <w:tcPr>
            <w:tcW w:type="dxa" w:w="4320"/>
          </w:tcPr>
          <w:p>
            <w:r/>
            <w:r>
              <w:rPr>
                <w:sz w:val="18"/>
              </w:rPr>
              <w:t>Feasibility floor: 30 completers (a completer has at least 10 of 14 paired mornings evaluable for calculated TST). This is a floor, not the final n. The formal Bland–Altman precision sample size is pending a signed SAP.</w:t>
            </w:r>
          </w:p>
        </w:tc>
      </w:tr>
      <w:tr>
        <w:tc>
          <w:tcPr>
            <w:tcW w:type="dxa" w:w="4320"/>
          </w:tcPr>
          <w:p>
            <w:r/>
            <w:r>
              <w:rPr>
                <w:sz w:val="18"/>
              </w:rPr>
              <w:t>Primary endpoint</w:t>
            </w:r>
          </w:p>
        </w:tc>
        <w:tc>
          <w:tcPr>
            <w:tcW w:type="dxa" w:w="4320"/>
          </w:tcPr>
          <w:p>
            <w:r/>
            <w:r>
              <w:rPr>
                <w:sz w:val="18"/>
              </w:rPr>
              <w:t>Night-level agreement of calculated total sleep time (TST) between Lazoo and CSD-M. TST is calculated, not taken from CSD-M item 8 (subjective estimate). Formula: TST = (out_of_bed − sleep_attempt) − SOL − WASO − TWAK. in_bed and sleep_attempt remain separate fields. These formulas are study arithmetic for this agreement study, not a product claim.</w:t>
            </w:r>
          </w:p>
        </w:tc>
      </w:tr>
      <w:tr>
        <w:tc>
          <w:tcPr>
            <w:tcW w:type="dxa" w:w="4320"/>
          </w:tcPr>
          <w:p>
            <w:r/>
            <w:r>
              <w:rPr>
                <w:sz w:val="18"/>
              </w:rPr>
              <w:t>Registration</w:t>
            </w:r>
          </w:p>
        </w:tc>
        <w:tc>
          <w:tcPr>
            <w:tcW w:type="dxa" w:w="4320"/>
          </w:tcPr>
          <w:p>
            <w:r/>
            <w:r>
              <w:rPr>
                <w:sz w:val="18"/>
              </w:rPr>
              <w:t>To be completed before the first participant (ISRCTN or equivalent), in line with HRA transparency expectations. Not yet registered. Results to be made public within 12 months of the end of the study (see Dissemination and Publication).</w:t>
            </w:r>
          </w:p>
        </w:tc>
      </w:tr>
      <w:tr>
        <w:tc>
          <w:tcPr>
            <w:tcW w:type="dxa" w:w="4320"/>
          </w:tcPr>
          <w:p>
            <w:r/>
            <w:r>
              <w:rPr>
                <w:sz w:val="18"/>
              </w:rPr>
              <w:t>Insurance</w:t>
            </w:r>
          </w:p>
        </w:tc>
        <w:tc>
          <w:tcPr>
            <w:tcW w:type="dxa" w:w="4320"/>
          </w:tcPr>
          <w:p>
            <w:r/>
            <w:r>
              <w:rPr>
                <w:sz w:val="18"/>
              </w:rPr>
              <w:t>Clinical study insurance with no-fault compensation for participants, and sponsor indemnity for the partner site. Insurer and quotation to be confirmed. Do not enrol until the certificate is filed.</w:t>
            </w:r>
          </w:p>
        </w:tc>
      </w:tr>
    </w:tbl>
    <w:p/>
    <w:p>
      <w:pPr>
        <w:pStyle w:val="Heading1"/>
      </w:pPr>
      <w:r>
        <w:t>2. Background and Rationale</w:t>
      </w:r>
    </w:p>
    <w:p>
      <w:r>
        <w:t>People who keep a sleep diary, and clinicians who later read one, need a digital log that captures the same constructs as the field’s consensus paper diary and that stores those entries with timestamps, an audit trail and an export of raw values. The Consensus Sleep Diary–Morning (CSD-M) is the reference self-report instrument for prospective sleep monitoring (Carney et al., 2012). Digital implementations are not automatically equivalent: field names, order, derived indices and edit behaviour can all change what is recorded.</w:t>
      </w:r>
    </w:p>
    <w:p>
      <w:r>
        <w:t>Lazoo is software as a medical device at the MHRA Class IIa (class 2a) working position, with one layer. Its draft intended purpose is insomnia diagnosis and monitoring, with no therapy claims. Accurate, complete and auditable diary records are a precondition for any monitoring use of the diary. This study tests whether Lazoo records the same night-level sleep quantities as a concurrently completed CSD-M, and whether adults can use the app for that task.</w:t>
      </w:r>
    </w:p>
    <w:p>
      <w:r>
        <w:t>Calculated TST is the primary quantity because CSD-M item 8 is a subjective estimate of time asleep and is not the derived index used for diary TST in this study (see Endpoints). Reed and Sacco (2016) and Maich et al. (2018) show that TST and sleep efficiency change if time in bed is taken from lights-out rather than from the later “tried to sleep” clock. LAZ-VAL-001 therefore keeps in_bed (CSD-M item 1 construct) and sleep_attempt (item 2 construct) as separate fields and uses the formula in Endpoints unless the Chief Investigator signs a documented Maich variant in the SAP.</w:t>
      </w:r>
    </w:p>
    <w:p>
      <w:r>
        <w:t>This is not a CTIMP. Whether the study is a clinical investigation under regulation 16 of the UK Medical Devices Regulations 2002 is to be confirmed (see Ethics and Regulatory Considerations). This protocol makes no statement about conformity marking. An AI validation report and a clinical evaluation report are outside this protocol.</w:t>
      </w:r>
    </w:p>
    <w:p>
      <w:r>
        <w:t>Studies sponsored by other organisations are outside this protocol. Their documents, letterhead, participant information and contact routes must not be merged into this file.</w:t>
      </w:r>
    </w:p>
    <w:p>
      <w:pPr>
        <w:pStyle w:val="Heading1"/>
      </w:pPr>
      <w:r>
        <w:t>3. Intended-Purpose Alignment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Element of the draft intended purpose (11 October 2026)</w:t>
            </w:r>
          </w:p>
        </w:tc>
        <w:tc>
          <w:tcPr>
            <w:tcW w:type="dxa" w:w="4320"/>
          </w:tcPr>
          <w:p>
            <w:r>
              <w:rPr>
                <w:b/>
              </w:rPr>
            </w:r>
            <w:r>
              <w:rPr>
                <w:b/>
                <w:sz w:val="18"/>
              </w:rPr>
              <w:t>How LAZ-VAL-001 relates to it</w:t>
            </w:r>
          </w:p>
        </w:tc>
      </w:tr>
      <w:tr>
        <w:tc>
          <w:tcPr>
            <w:tcW w:type="dxa" w:w="4320"/>
          </w:tcPr>
          <w:p>
            <w:r/>
            <w:r>
              <w:rPr>
                <w:sz w:val="18"/>
              </w:rPr>
              <w:t>Insomnia monitoring</w:t>
            </w:r>
          </w:p>
        </w:tc>
        <w:tc>
          <w:tcPr>
            <w:tcW w:type="dxa" w:w="4320"/>
          </w:tcPr>
          <w:p>
            <w:r/>
            <w:r>
              <w:rPr>
                <w:sz w:val="18"/>
              </w:rPr>
              <w:t>Supported indirectly. The study generates measurement-agreement, completeness, audit-trail and usability evidence for the diary records that underpin monitoring. It does not establish a clinical benefit.</w:t>
            </w:r>
          </w:p>
        </w:tc>
      </w:tr>
      <w:tr>
        <w:tc>
          <w:tcPr>
            <w:tcW w:type="dxa" w:w="4320"/>
          </w:tcPr>
          <w:p>
            <w:r/>
            <w:r>
              <w:rPr>
                <w:sz w:val="18"/>
              </w:rPr>
              <w:t>Insomnia diagnosis</w:t>
            </w:r>
          </w:p>
        </w:tc>
        <w:tc>
          <w:tcPr>
            <w:tcW w:type="dxa" w:w="4320"/>
          </w:tcPr>
          <w:p>
            <w:r/>
            <w:r>
              <w:rPr>
                <w:sz w:val="18"/>
              </w:rPr>
              <w:t>Not tested. No diagnostic cut-points, reference-standard diagnosis, sensitivity, specificity or ROC analysis. Diagnostic performance would need a separate protocol.</w:t>
            </w:r>
          </w:p>
        </w:tc>
      </w:tr>
      <w:tr>
        <w:tc>
          <w:tcPr>
            <w:tcW w:type="dxa" w:w="4320"/>
          </w:tcPr>
          <w:p>
            <w:r/>
            <w:r>
              <w:rPr>
                <w:sz w:val="18"/>
              </w:rPr>
              <w:t>Therapy</w:t>
            </w:r>
          </w:p>
        </w:tc>
        <w:tc>
          <w:tcPr>
            <w:tcW w:type="dxa" w:w="4320"/>
          </w:tcPr>
          <w:p>
            <w:r/>
            <w:r>
              <w:rPr>
                <w:sz w:val="18"/>
              </w:rPr>
              <w:t>Out of scope. No therapy claims. No CBT-I content, treatment allocation or treatment-response endpoint.</w:t>
            </w:r>
          </w:p>
        </w:tc>
      </w:tr>
      <w:tr>
        <w:tc>
          <w:tcPr>
            <w:tcW w:type="dxa" w:w="4320"/>
          </w:tcPr>
          <w:p>
            <w:r/>
            <w:r>
              <w:rPr>
                <w:sz w:val="18"/>
              </w:rPr>
              <w:t>Obstructive sleep apnoea (OSA)</w:t>
            </w:r>
          </w:p>
        </w:tc>
        <w:tc>
          <w:tcPr>
            <w:tcW w:type="dxa" w:w="4320"/>
          </w:tcPr>
          <w:p>
            <w:r/>
            <w:r>
              <w:rPr>
                <w:sz w:val="18"/>
              </w:rPr>
              <w:t>Out of scope. OSA is a separate condition and is not assessed, screened for or inferred in this study.</w:t>
            </w:r>
          </w:p>
        </w:tc>
      </w:tr>
      <w:tr>
        <w:tc>
          <w:tcPr>
            <w:tcW w:type="dxa" w:w="4320"/>
          </w:tcPr>
          <w:p>
            <w:r/>
            <w:r>
              <w:rPr>
                <w:sz w:val="18"/>
              </w:rPr>
              <w:t>Pregnancy</w:t>
            </w:r>
          </w:p>
        </w:tc>
        <w:tc>
          <w:tcPr>
            <w:tcW w:type="dxa" w:w="4320"/>
          </w:tcPr>
          <w:p>
            <w:r/>
            <w:r>
              <w:rPr>
                <w:sz w:val="18"/>
              </w:rPr>
              <w:t>To be confirmed in LAZ-IP-001. Until confirmed, the eligibility position in this protocol is unchanged (see Study Population).</w:t>
            </w:r>
          </w:p>
        </w:tc>
      </w:tr>
      <w:tr>
        <w:tc>
          <w:tcPr>
            <w:tcW w:type="dxa" w:w="4320"/>
          </w:tcPr>
          <w:p>
            <w:r/>
            <w:r>
              <w:rPr>
                <w:sz w:val="18"/>
              </w:rPr>
              <w:t>Final wording</w:t>
            </w:r>
          </w:p>
        </w:tc>
        <w:tc>
          <w:tcPr>
            <w:tcW w:type="dxa" w:w="4320"/>
          </w:tcPr>
          <w:p>
            <w:r/>
            <w:r>
              <w:rPr>
                <w:sz w:val="18"/>
              </w:rPr>
              <w:t>The intended-purpose statement is to be locked in LAZ-IP-001. Once locked, it is copied verbatim into this protocol, the participant information sheet and the study summary by amendment.</w:t>
            </w:r>
          </w:p>
        </w:tc>
      </w:tr>
    </w:tbl>
    <w:p/>
    <w:p>
      <w:r>
        <w:t>No result of this study may be presented as a diagnostic claim or a therapy claim.</w:t>
      </w:r>
    </w:p>
    <w:p>
      <w:pPr>
        <w:pStyle w:val="Heading1"/>
      </w:pPr>
      <w:r>
        <w:t>4. Study Objectives</w:t>
      </w:r>
    </w:p>
    <w:p>
      <w:pPr>
        <w:pStyle w:val="Heading2"/>
      </w:pPr>
      <w:r>
        <w:t>Primary objective</w:t>
      </w:r>
    </w:p>
    <w:p>
      <w:r>
        <w:t>To estimate agreement between Lazoo and concurrently completed CSD-M for calculated total sleep time (TST) over paired mornings in adults using the restricted research app.</w:t>
      </w:r>
    </w:p>
    <w:p>
      <w:pPr>
        <w:pStyle w:val="Heading2"/>
      </w:pPr>
      <w:r>
        <w:t>Secondary objectives</w:t>
      </w:r>
    </w:p>
    <w:p>
      <w:pPr>
        <w:pStyle w:val="ListNumber"/>
      </w:pPr>
      <w:r>
        <w:t>To estimate agreement for sleep onset latency (SOL), wake after sleep onset (WASO), sleep efficiency (SE) and number of awakenings (excluding the final awakening).</w:t>
      </w:r>
    </w:p>
    <w:p>
      <w:pPr>
        <w:pStyle w:val="ListNumber"/>
      </w:pPr>
      <w:r>
        <w:t>To describe completeness (paired mornings; item-level missingness) over 14 mornings.</w:t>
      </w:r>
    </w:p>
    <w:p>
      <w:pPr>
        <w:pStyle w:val="ListNumber"/>
      </w:pPr>
      <w:r>
        <w:t>To describe timestamp integrity and audit-trail completeness on Lazoo edits (who, what, when; original value retained).</w:t>
      </w:r>
    </w:p>
    <w:p>
      <w:pPr>
        <w:pStyle w:val="ListNumber"/>
      </w:pPr>
      <w:r>
        <w:t>To describe usability of Lazoo v1 using the System Usability Scale (Brooke, 1996) and three structured questions.</w:t>
      </w:r>
    </w:p>
    <w:p>
      <w:pPr>
        <w:pStyle w:val="Heading2"/>
      </w:pPr>
      <w:r>
        <w:t>Exploratory objectives</w:t>
      </w:r>
    </w:p>
    <w:p>
      <w:pPr>
        <w:pStyle w:val="ListBullet"/>
      </w:pPr>
      <w:r>
        <w:t>To describe the difference between calculated TST and the CSD-M item-8 construct (subjective estimated time asleep; tst_subjective). Item 8 is not the primary endpoint.</w:t>
      </w:r>
    </w:p>
    <w:p>
      <w:pPr>
        <w:pStyle w:val="ListBullet"/>
      </w:pPr>
      <w:r>
        <w:t>To describe nap and doze reporting and lifestyle text (caffeine, alcohol, sleep medication as user-entered text) as covariates only.</w:t>
      </w:r>
    </w:p>
    <w:p>
      <w:pPr>
        <w:pStyle w:val="Heading2"/>
      </w:pPr>
      <w:r>
        <w:t>What this study will not do</w:t>
      </w:r>
    </w:p>
    <w:p>
      <w:pPr>
        <w:pStyle w:val="ListBullet"/>
      </w:pPr>
      <w:r>
        <w:t>Establish or support a diagnostic claim or a therapy claim.</w:t>
      </w:r>
    </w:p>
    <w:p>
      <w:pPr>
        <w:pStyle w:val="ListBullet"/>
      </w:pPr>
      <w:r>
        <w:t>Test CBT-I, treatment response or care pathways.</w:t>
      </w:r>
    </w:p>
    <w:p>
      <w:pPr>
        <w:pStyle w:val="ListBullet"/>
      </w:pPr>
      <w:r>
        <w:t>Assess OSA.</w:t>
      </w:r>
    </w:p>
    <w:p>
      <w:pPr>
        <w:pStyle w:val="ListBullet"/>
      </w:pPr>
      <w:r>
        <w:t>Create a national registry.</w:t>
      </w:r>
    </w:p>
    <w:p>
      <w:pPr>
        <w:pStyle w:val="ListBullet"/>
      </w:pPr>
      <w:r>
        <w:t>Validate an AI output.</w:t>
      </w:r>
    </w:p>
    <w:p>
      <w:pPr>
        <w:pStyle w:val="ListBullet"/>
      </w:pPr>
      <w:r>
        <w:t>Recruit from NHS patient lists, hospital patient lists or the patient lists of Sleep and Health Clinic Ltd.</w:t>
      </w:r>
    </w:p>
    <w:p>
      <w:pPr>
        <w:pStyle w:val="Heading1"/>
      </w:pPr>
      <w:r>
        <w:t>5. Study Design</w:t>
      </w:r>
    </w:p>
    <w:p>
      <w:r>
        <w:t>Prospective, paired, within-person comparison. Each morning for 14 consecutive mornings the participant completes CSD-M first (paper or locked PDF) and then Lazoo, in the same sitting, so Lazoo cannot auto-fill the comparator. No randomisation, no investigational medicinal product, no care allocation and no in-app interpretation.</w:t>
      </w:r>
    </w:p>
    <w:p>
      <w:r>
        <w:t>Classification: non-CTIMP research. UK MDR clinical-investigation status is to be confirmed. Ethics review is required before the first participant. The need for HRA Approval depends on whether the Partner site is an NHS organisation (see Ethics and Regulatory Considerations).</w:t>
      </w:r>
    </w:p>
    <w:p>
      <w:pPr>
        <w:pStyle w:val="Heading2"/>
      </w:pPr>
      <w:r>
        <w:t>Product under study</w:t>
      </w:r>
    </w:p>
    <w:p>
      <w:r>
        <w:t>Lazoo restricted research build (software as a medical device, MHRA Class IIa working position; Apple Unlisted; Play closed testing). The research-ready build must be pinned in LAZ-VER-001 before the first participant. It must show four consent toggles stored with wording version and timestamp, JSON and CSV export of raw timestamps, append-only diary-edit history, and a study_link field (study ID, site code, consent-pack version).</w:t>
      </w:r>
    </w:p>
    <w:p>
      <w:r>
        <w:t>To be confirmed: app version pin and release note for the research-ready build. This protocol is not executable until LAZ-VER-001 names the pin.</w:t>
      </w:r>
    </w:p>
    <w:p>
      <w:pPr>
        <w:pStyle w:val="Heading2"/>
      </w:pPr>
      <w:r>
        <w:t>Comparator handling and copyright</w:t>
      </w:r>
    </w:p>
    <w:p>
      <w:r>
        <w:t>CSD-M is cited, not reproduced. Construct names and field codes are used in the protocol, CRF and data dictionary. Verbatim CSD-M question stems, Figure 2 and the publisher PDF must not be placed in the trial master file, the app or the CRF until a written industry licence from Dr Colleen Carney is on file (commercial use; fees are charged). UK wording changes (for example soda to soft drink, oz to ml) are a linguistic adaptation and also need the copyright holder’s agreement if stems change.</w:t>
      </w:r>
    </w:p>
    <w:p>
      <w:r>
        <w:t>To be confirmed: CSD-M industry licence. Until it is on file, source worksheets use construct labels and clock-time boxes only.</w:t>
      </w:r>
    </w:p>
    <w:p>
      <w:pPr>
        <w:pStyle w:val="Heading2"/>
      </w:pPr>
      <w:r>
        <w:t>Site</w:t>
      </w:r>
    </w:p>
    <w:p>
      <w:r>
        <w:t>The study is conducted under the sponsor at one Partner site (to be confirmed), a hospital or university organisation engaged as a subcontracted site. The Partner site is paid by the sponsor under a site/services agreement and acts on the sponsor’s instructions in accordance with this protocol. It is not a co-sponsor, co-funder or joint owner of the study, the product or the results.</w:t>
      </w:r>
    </w:p>
    <w:p>
      <w:r>
        <w:t>The services to be provided by the Partner site are to be confirmed in the site/services agreement. The sponsor’s proposed scope is: a Principal Investigator with oversight at the site; participant screening, consent and study conduct in accordance with this protocol; source-document handling and CRF completion; maintenance of an investigator site file; and cooperation with sponsor monitoring and audit.</w:t>
      </w:r>
    </w:p>
    <w:p>
      <w:r>
        <w:t>Participants are adult volunteers recruited by the sponsor through Prolific (see Study Population) who complete both diaries remotely. The Partner site must not recruit from NHS patient lists, hospital patient lists or the patient lists of Sleep and Health Clinic Ltd. Sleep and Health Clinic Ltd is not a research site.</w:t>
      </w:r>
    </w:p>
    <w:p>
      <w:r>
        <w:t>No site code, investigator site file or study access is issued to the Partner site until the site/services agreement is signed, the required approvals are in place and the site is formally opened by the sponsor. Adding any further site requires a protocol amendment.</w:t>
      </w:r>
    </w:p>
    <w:p>
      <w:pPr>
        <w:pStyle w:val="Heading2"/>
      </w:pPr>
      <w:r>
        <w:t>Actigraphy</w:t>
      </w:r>
    </w:p>
    <w:p>
      <w:r>
        <w:t>Wrist actigraphy is not included in version 0.3. Adding it would require a protocol amendment, a named actigraphy device of appropriate regulatory status, and a scoring SOP for that device.</w:t>
      </w:r>
    </w:p>
    <w:p>
      <w:pPr>
        <w:pStyle w:val="Heading1"/>
      </w:pPr>
      <w:r>
        <w:t>6. Study Population</w:t>
      </w:r>
    </w:p>
    <w:p>
      <w:r>
        <w:t>Adults aged 18 years or over who can use the restricted English-language app and who are willing to complete both Lazoo and CSD-M each morning for 14 days. Participants are volunteers. They are not enrolled as NHS patients, and no care will change because of diary values.</w:t>
      </w:r>
    </w:p>
    <w:p>
      <w:pPr>
        <w:pStyle w:val="Heading2"/>
      </w:pPr>
      <w:r>
        <w:t>Recruitment route</w:t>
      </w:r>
    </w:p>
    <w:p>
      <w:r>
        <w:t xml:space="preserve">The default recruitment route is Prolific, through </w:t>
      </w:r>
      <w:r>
        <w:rPr>
          <w:strike/>
        </w:rPr>
        <w:t>Sleep and Health Clinic App Ltd</w:t>
      </w:r>
      <w:r>
        <w:rPr/>
        <w:t xml:space="preserve"> SHC Sleep Solutions Limited</w:t>
      </w:r>
      <w:r>
        <w:t>’s own account. Volunteers who respond to the sponsor’s study advertisement are screened against the inclusion and exclusion criteria. No one is approached through an NHS patient list, a hospital patient list or the patient list of Sleep and Health Clinic Ltd. Any other recruitment route requires a protocol amendment and approval by the reviewing ethics committee. The recruitment advertisement and any Prolific study description are participant-facing documents and are submitted for ethics review. Prolific’s role in processing participant data is recorded in the DMP and the DPIA before recruitment opens.</w:t>
      </w:r>
    </w:p>
    <w:p>
      <w:r>
        <w:t>Target for feasibility: 30 completers. Screening may continue until that floor is met or the Chief Investigator stops the study. The SAP may raise the n; it may not lower the completer definition without a protocol amendment.</w:t>
      </w:r>
    </w:p>
    <w:p>
      <w:r>
        <w:t>A completer is a participant with at least 10 of 14 paired mornings that are evaluable for calculated TST on both diaries (see Endpoints).</w:t>
      </w:r>
    </w:p>
    <w:p>
      <w:r>
        <w:t>Parent or carer completion and anyone under 18 are out of scope until a paediatric participant information sheet exists. Pregnancy: no change to eligibility in this version; the position is to be confirmed once LAZ-IP-001 records whether pregnancy is in or out of the intended purpose.</w:t>
      </w:r>
    </w:p>
    <w:p>
      <w:pPr>
        <w:pStyle w:val="Heading1"/>
      </w:pPr>
      <w:r>
        <w:t>7. Inclusion Criteria</w:t>
      </w:r>
    </w:p>
    <w:p>
      <w:pPr>
        <w:pStyle w:val="ListNumber"/>
      </w:pPr>
      <w:r>
        <w:t>Aged 18 years or over at consent.</w:t>
      </w:r>
    </w:p>
    <w:p>
      <w:pPr>
        <w:pStyle w:val="ListNumber"/>
      </w:pPr>
      <w:r>
        <w:t>Able to read and complete diaries in English.</w:t>
      </w:r>
    </w:p>
    <w:p>
      <w:pPr>
        <w:pStyle w:val="ListNumber"/>
      </w:pPr>
      <w:r>
        <w:t>Able and willing to use the restricted Lazoo app on a personal iOS or Android device for 14 mornings (Apple Unlisted or Play closed-testing access issued by the sponsor).</w:t>
      </w:r>
    </w:p>
    <w:p>
      <w:pPr>
        <w:pStyle w:val="ListNumber"/>
      </w:pPr>
      <w:r>
        <w:t>Willing to complete CSD-M (paper or locked PDF) and then Lazoo each morning for 14 consecutive mornings, in the same sitting.</w:t>
      </w:r>
    </w:p>
    <w:p>
      <w:pPr>
        <w:pStyle w:val="ListNumber"/>
      </w:pPr>
      <w:r>
        <w:t>Able to give informed consent (written, or remote consent approved by the ethics committee) and to be contacted through the study contact on the participant information sheet.</w:t>
      </w:r>
    </w:p>
    <w:p>
      <w:pPr>
        <w:pStyle w:val="ListNumber"/>
      </w:pPr>
      <w:r>
        <w:t>Consent toggle 1 (use the diary) and toggle 3 (research use of a pseudonymised copy for this protocol) both on. Toggle 4 (future clinical tools or models) is not required and is off for the default analysis population.</w:t>
      </w:r>
    </w:p>
    <w:p>
      <w:pPr>
        <w:pStyle w:val="Heading1"/>
      </w:pPr>
      <w:r>
        <w:t>8. Exclusion Criteria</w:t>
      </w:r>
    </w:p>
    <w:p>
      <w:pPr>
        <w:pStyle w:val="ListNumber"/>
      </w:pPr>
      <w:r>
        <w:t>Unable to give informed consent.</w:t>
      </w:r>
    </w:p>
    <w:p>
      <w:pPr>
        <w:pStyle w:val="ListNumber"/>
      </w:pPr>
      <w:r>
        <w:t>Current participation in another sleep-diary research study that would duplicate the same nights.</w:t>
      </w:r>
    </w:p>
    <w:p>
      <w:pPr>
        <w:pStyle w:val="ListNumber"/>
      </w:pPr>
      <w:r>
        <w:t>The Chief Investigator or a delegated investigator judges that completing two morning diaries for 14 days would be inappropriate for that person (for example acute distress). The reason is recorded as a file note, not as a diagnosis generated by Lazoo.</w:t>
      </w:r>
    </w:p>
    <w:p>
      <w:pPr>
        <w:pStyle w:val="ListNumber"/>
      </w:pPr>
      <w:r>
        <w:t>Unable to complete entries in English.</w:t>
      </w:r>
    </w:p>
    <w:p>
      <w:pPr>
        <w:pStyle w:val="ListNumber"/>
      </w:pPr>
      <w:r>
        <w:t>No access to a compatible device, or unwilling to use the unlisted or closed-testing app.</w:t>
      </w:r>
    </w:p>
    <w:p>
      <w:pPr>
        <w:pStyle w:val="ListNumber"/>
      </w:pPr>
      <w:r>
        <w:t>Identified through any NHS organisation's patient lists, or a patient of Sleep &amp; Health Clinic Ltd (08904119).</w:t>
      </w:r>
    </w:p>
    <w:p>
      <w:r>
        <w:t>Not recruited through any NHS organisation's patient lists or from Sleep &amp; Health Clinic Ltd (08904119) patients.</w:t>
      </w:r>
    </w:p>
    <w:p>
      <w:r>
        <w:t>People who currently have a sleep difficulty are not excluded by that fact alone, and they are not enrolled in order to test a diagnostic claim. Self-reported background is descriptive only.</w:t>
      </w:r>
    </w:p>
    <w:p>
      <w:pPr>
        <w:pStyle w:val="Heading1"/>
      </w:pPr>
      <w:r>
        <w:t>9. Study Procedures</w:t>
      </w:r>
    </w:p>
    <w:p>
      <w:pPr>
        <w:pStyle w:val="ListNumber"/>
      </w:pPr>
      <w:r>
        <w:t>Invitation through Prolific (default route; see Study Population) and screening against inclusion and exclusion criteria. Participant ID format: LAZ-VAL-001-NNN (never reused).</w:t>
      </w:r>
    </w:p>
    <w:p>
      <w:pPr>
        <w:pStyle w:val="ListNumber"/>
      </w:pPr>
      <w:r>
        <w:t>Informed consent. Store the consent-pack version on the user record. The research contact on all participant-facing sheets is the sponsor contact, admin@sleepandhealth.org, unless the ethics-approved documents add a Partner site contact. No personal email address and no NHS PALS line appear on sponsor documents.</w:t>
      </w:r>
    </w:p>
    <w:p>
      <w:pPr>
        <w:pStyle w:val="ListNumber"/>
      </w:pPr>
      <w:r>
        <w:t>Issue study code and login. The app must not be publicly listed. Confirm the app version against the LAZ-VER-001 pin.</w:t>
      </w:r>
    </w:p>
    <w:p>
      <w:pPr>
        <w:pStyle w:val="ListNumber"/>
      </w:pPr>
      <w:r>
        <w:t>Training (day 0): one walkthrough of the CSD-M construct fields and of the Lazoo morning diary. CSD-M is completed on paper or a locked PDF so Lazoo cannot auto-fill it. in_bed and sleep_attempt are trained as two different clock times.</w:t>
      </w:r>
    </w:p>
    <w:p>
      <w:pPr>
        <w:pStyle w:val="ListNumber"/>
      </w:pPr>
      <w:r>
        <w:t>Mornings 1–14: CSD-M first, then Lazoo, in the same sitting. No in-app interpretation, score, flag, CBT-I lesson or phenotyping output. Participants may edit Lazoo entries; edits are append-only with the original retained.</w:t>
      </w:r>
    </w:p>
    <w:p>
      <w:pPr>
        <w:pStyle w:val="ListNumber"/>
      </w:pPr>
      <w:r>
        <w:t>Day 15 (or the first working day after morning 14): return CSD-M source worksheets; complete the SUS; complete three structured usability questions; optional short interview (audio only if separately consented; default is notes on the CRF). Confirm withdrawal wishes for toggle 3.</w:t>
      </w:r>
    </w:p>
    <w:p>
      <w:pPr>
        <w:pStyle w:val="ListNumber"/>
      </w:pPr>
      <w:r>
        <w:t>Close-out: export Lazoo JSON and CSV; file the export receipt on the CRF; stop study access or leave the person on the restricted app for personal use under toggle 1 only, as they choose.</w:t>
      </w:r>
    </w:p>
    <w:p>
      <w:r>
        <w:t>Toggle 2 (share with a nominated clinician) is optional and is not required for this study. Any share is the diary history only, with no automated interpretation.</w:t>
      </w:r>
    </w:p>
    <w:p>
      <w:r>
        <w:t>Deviations (wrong order, Lazoo completed first, missed morning, lost PDF) are logged. A morning with Lazoo completed first is not primary-evaluable unless the SAP defines a sensitivity rule.</w:t>
      </w:r>
    </w:p>
    <w:p>
      <w:pPr>
        <w:pStyle w:val="Heading1"/>
      </w:pPr>
      <w:r>
        <w:t>10. Study Assessments</w:t>
      </w:r>
    </w:p>
    <w:p>
      <w:pPr>
        <w:pStyle w:val="Heading2"/>
      </w:pPr>
      <w:r>
        <w:t>CSD-M (comparator)</w:t>
      </w:r>
    </w:p>
    <w:p>
      <w:r>
        <w:t>Reference: Carney et al., Sleep 2012;35:287–302. doi:10.5665/sleep.1642. Morning diary. Source document: paper or locked PDF, retained in the investigator site file and trial master file only if licensed. The CRF records construct values (clock times, durations, counts, categorical ratings) using the field map below. Double transcription with a discrepancy log, or single transcription plus a photograph of the source with a file log, as specified in the DMP.</w:t>
      </w:r>
    </w:p>
    <w:p>
      <w:pPr>
        <w:pStyle w:val="Heading2"/>
      </w:pPr>
      <w:r>
        <w:t>Lazoo v1 (index diary)</w:t>
      </w:r>
    </w:p>
    <w:p>
      <w:r>
        <w:t>Restricted research app. Fields are named in the research data dictionary (LAZ-TPL-DICT and the study map). Derived TST, SOL, WASO, TIB and SE are computed on export from raw clock times; raw timestamps are stored. Lifestyle caffeine, alcohol and medication entries are user-entered text, not a coded medical history. Reserved and empty in v1: vitals.core_temp[], vitals.wearable[], ai_event[].</w:t>
      </w:r>
    </w:p>
    <w:p>
      <w:pPr>
        <w:pStyle w:val="Heading2"/>
      </w:pPr>
      <w:r>
        <w:t>Construct map (not the CSD-M form)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CSD-M item (construct only)</w:t>
            </w:r>
          </w:p>
        </w:tc>
        <w:tc>
          <w:tcPr>
            <w:tcW w:type="dxa" w:w="2160"/>
          </w:tcPr>
          <w:p>
            <w:r>
              <w:rPr>
                <w:b/>
              </w:rPr>
            </w:r>
            <w:r>
              <w:rPr>
                <w:b/>
                <w:sz w:val="18"/>
              </w:rPr>
              <w:t>Construct</w:t>
            </w:r>
          </w:p>
        </w:tc>
        <w:tc>
          <w:tcPr>
            <w:tcW w:type="dxa" w:w="2160"/>
          </w:tcPr>
          <w:p>
            <w:r>
              <w:rPr>
                <w:b/>
              </w:rPr>
            </w:r>
            <w:r>
              <w:rPr>
                <w:b/>
                <w:sz w:val="18"/>
              </w:rPr>
              <w:t>Lazoo field</w:t>
            </w:r>
          </w:p>
        </w:tc>
        <w:tc>
          <w:tcPr>
            <w:tcW w:type="dxa" w:w="2160"/>
          </w:tcPr>
          <w:p>
            <w:r>
              <w:rPr>
                <w:b/>
              </w:rPr>
            </w:r>
            <w:r>
              <w:rPr>
                <w:b/>
                <w:sz w:val="18"/>
              </w:rPr>
              <w:t>Role in LAZ-VAL-001</w:t>
            </w:r>
          </w:p>
        </w:tc>
      </w:tr>
      <w:tr>
        <w:tc>
          <w:tcPr>
            <w:tcW w:type="dxa" w:w="2160"/>
          </w:tcPr>
          <w:p>
            <w:r/>
            <w:r>
              <w:rPr>
                <w:sz w:val="18"/>
              </w:rPr>
              <w:t>Date</w:t>
            </w:r>
          </w:p>
        </w:tc>
        <w:tc>
          <w:tcPr>
            <w:tcW w:type="dxa" w:w="2160"/>
          </w:tcPr>
          <w:p>
            <w:r/>
            <w:r>
              <w:rPr>
                <w:sz w:val="18"/>
              </w:rPr>
              <w:t>Morning date</w:t>
            </w:r>
          </w:p>
        </w:tc>
        <w:tc>
          <w:tcPr>
            <w:tcW w:type="dxa" w:w="2160"/>
          </w:tcPr>
          <w:p>
            <w:r/>
            <w:r>
              <w:rPr>
                <w:sz w:val="18"/>
              </w:rPr>
              <w:t>diary_date</w:t>
            </w:r>
          </w:p>
        </w:tc>
        <w:tc>
          <w:tcPr>
            <w:tcW w:type="dxa" w:w="2160"/>
          </w:tcPr>
          <w:p>
            <w:r/>
            <w:r>
              <w:rPr>
                <w:sz w:val="18"/>
              </w:rPr>
              <w:t>Administrative; pairing key</w:t>
            </w:r>
          </w:p>
        </w:tc>
      </w:tr>
      <w:tr>
        <w:tc>
          <w:tcPr>
            <w:tcW w:type="dxa" w:w="2160"/>
          </w:tcPr>
          <w:p>
            <w:r/>
            <w:r>
              <w:rPr>
                <w:sz w:val="18"/>
              </w:rPr>
              <w:t>1</w:t>
            </w:r>
          </w:p>
        </w:tc>
        <w:tc>
          <w:tcPr>
            <w:tcW w:type="dxa" w:w="2160"/>
          </w:tcPr>
          <w:p>
            <w:r/>
            <w:r>
              <w:rPr>
                <w:sz w:val="18"/>
              </w:rPr>
              <w:t>Clock time into bed</w:t>
            </w:r>
          </w:p>
        </w:tc>
        <w:tc>
          <w:tcPr>
            <w:tcW w:type="dxa" w:w="2160"/>
          </w:tcPr>
          <w:p>
            <w:r/>
            <w:r>
              <w:rPr>
                <w:sz w:val="18"/>
              </w:rPr>
              <w:t>in_bed</w:t>
            </w:r>
          </w:p>
        </w:tc>
        <w:tc>
          <w:tcPr>
            <w:tcW w:type="dxa" w:w="2160"/>
          </w:tcPr>
          <w:p>
            <w:r/>
            <w:r>
              <w:rPr>
                <w:sz w:val="18"/>
              </w:rPr>
              <w:t>TIB; kept separate from item 2</w:t>
            </w:r>
          </w:p>
        </w:tc>
      </w:tr>
      <w:tr>
        <w:tc>
          <w:tcPr>
            <w:tcW w:type="dxa" w:w="2160"/>
          </w:tcPr>
          <w:p>
            <w:r/>
            <w:r>
              <w:rPr>
                <w:sz w:val="18"/>
              </w:rPr>
              <w:t>2</w:t>
            </w:r>
          </w:p>
        </w:tc>
        <w:tc>
          <w:tcPr>
            <w:tcW w:type="dxa" w:w="2160"/>
          </w:tcPr>
          <w:p>
            <w:r/>
            <w:r>
              <w:rPr>
                <w:sz w:val="18"/>
              </w:rPr>
              <w:t>Clock time tried to sleep</w:t>
            </w:r>
          </w:p>
        </w:tc>
        <w:tc>
          <w:tcPr>
            <w:tcW w:type="dxa" w:w="2160"/>
          </w:tcPr>
          <w:p>
            <w:r/>
            <w:r>
              <w:rPr>
                <w:sz w:val="18"/>
              </w:rPr>
              <w:t>sleep_attempt</w:t>
            </w:r>
          </w:p>
        </w:tc>
        <w:tc>
          <w:tcPr>
            <w:tcW w:type="dxa" w:w="2160"/>
          </w:tcPr>
          <w:p>
            <w:r/>
            <w:r>
              <w:rPr>
                <w:sz w:val="18"/>
              </w:rPr>
              <w:t>SOL start; TST start; kept separate from item 1</w:t>
            </w:r>
          </w:p>
        </w:tc>
      </w:tr>
      <w:tr>
        <w:tc>
          <w:tcPr>
            <w:tcW w:type="dxa" w:w="2160"/>
          </w:tcPr>
          <w:p>
            <w:r/>
            <w:r>
              <w:rPr>
                <w:sz w:val="18"/>
              </w:rPr>
              <w:t>3</w:t>
            </w:r>
          </w:p>
        </w:tc>
        <w:tc>
          <w:tcPr>
            <w:tcW w:type="dxa" w:w="2160"/>
          </w:tcPr>
          <w:p>
            <w:r/>
            <w:r>
              <w:rPr>
                <w:sz w:val="18"/>
              </w:rPr>
              <w:t>Time to fall asleep (duration)</w:t>
            </w:r>
          </w:p>
        </w:tc>
        <w:tc>
          <w:tcPr>
            <w:tcW w:type="dxa" w:w="2160"/>
          </w:tcPr>
          <w:p>
            <w:r/>
            <w:r>
              <w:rPr>
                <w:sz w:val="18"/>
              </w:rPr>
              <w:t>SOL; sleep_onset derived = sleep_attempt + SOL</w:t>
            </w:r>
          </w:p>
        </w:tc>
        <w:tc>
          <w:tcPr>
            <w:tcW w:type="dxa" w:w="2160"/>
          </w:tcPr>
          <w:p>
            <w:r/>
            <w:r>
              <w:rPr>
                <w:sz w:val="18"/>
              </w:rPr>
              <w:t>Secondary SOL</w:t>
            </w:r>
          </w:p>
        </w:tc>
      </w:tr>
      <w:tr>
        <w:tc>
          <w:tcPr>
            <w:tcW w:type="dxa" w:w="2160"/>
          </w:tcPr>
          <w:p>
            <w:r/>
            <w:r>
              <w:rPr>
                <w:sz w:val="18"/>
              </w:rPr>
              <w:t>4</w:t>
            </w:r>
          </w:p>
        </w:tc>
        <w:tc>
          <w:tcPr>
            <w:tcW w:type="dxa" w:w="2160"/>
          </w:tcPr>
          <w:p>
            <w:r/>
            <w:r>
              <w:rPr>
                <w:sz w:val="18"/>
              </w:rPr>
              <w:t>Number of wakes excluding final</w:t>
            </w:r>
          </w:p>
        </w:tc>
        <w:tc>
          <w:tcPr>
            <w:tcW w:type="dxa" w:w="2160"/>
          </w:tcPr>
          <w:p>
            <w:r/>
            <w:r>
              <w:rPr>
                <w:sz w:val="18"/>
              </w:rPr>
              <w:t>awakenings_n</w:t>
            </w:r>
          </w:p>
        </w:tc>
        <w:tc>
          <w:tcPr>
            <w:tcW w:type="dxa" w:w="2160"/>
          </w:tcPr>
          <w:p>
            <w:r/>
            <w:r>
              <w:rPr>
                <w:sz w:val="18"/>
              </w:rPr>
              <w:t>Secondary count</w:t>
            </w:r>
          </w:p>
        </w:tc>
      </w:tr>
      <w:tr>
        <w:tc>
          <w:tcPr>
            <w:tcW w:type="dxa" w:w="2160"/>
          </w:tcPr>
          <w:p>
            <w:r/>
            <w:r>
              <w:rPr>
                <w:sz w:val="18"/>
              </w:rPr>
              <w:t>5</w:t>
            </w:r>
          </w:p>
        </w:tc>
        <w:tc>
          <w:tcPr>
            <w:tcW w:type="dxa" w:w="2160"/>
          </w:tcPr>
          <w:p>
            <w:r/>
            <w:r>
              <w:rPr>
                <w:sz w:val="18"/>
              </w:rPr>
              <w:t>Total length of those wakes</w:t>
            </w:r>
          </w:p>
        </w:tc>
        <w:tc>
          <w:tcPr>
            <w:tcW w:type="dxa" w:w="2160"/>
          </w:tcPr>
          <w:p>
            <w:r/>
            <w:r>
              <w:rPr>
                <w:sz w:val="18"/>
              </w:rPr>
              <w:t>WASO (sum of awakenings_detail[].duration excluding final)</w:t>
            </w:r>
          </w:p>
        </w:tc>
        <w:tc>
          <w:tcPr>
            <w:tcW w:type="dxa" w:w="2160"/>
          </w:tcPr>
          <w:p>
            <w:r/>
            <w:r>
              <w:rPr>
                <w:sz w:val="18"/>
              </w:rPr>
              <w:t>Secondary WASO; feeds TST and SE</w:t>
            </w:r>
          </w:p>
        </w:tc>
      </w:tr>
      <w:tr>
        <w:tc>
          <w:tcPr>
            <w:tcW w:type="dxa" w:w="2160"/>
          </w:tcPr>
          <w:p>
            <w:r/>
            <w:r>
              <w:rPr>
                <w:sz w:val="18"/>
              </w:rPr>
              <w:t>6a</w:t>
            </w:r>
          </w:p>
        </w:tc>
        <w:tc>
          <w:tcPr>
            <w:tcW w:type="dxa" w:w="2160"/>
          </w:tcPr>
          <w:p>
            <w:r/>
            <w:r>
              <w:rPr>
                <w:sz w:val="18"/>
              </w:rPr>
              <w:t>Clock time of final awakening</w:t>
            </w:r>
          </w:p>
        </w:tc>
        <w:tc>
          <w:tcPr>
            <w:tcW w:type="dxa" w:w="2160"/>
          </w:tcPr>
          <w:p>
            <w:r/>
            <w:r>
              <w:rPr>
                <w:sz w:val="18"/>
              </w:rPr>
              <w:t>wake</w:t>
            </w:r>
          </w:p>
        </w:tc>
        <w:tc>
          <w:tcPr>
            <w:tcW w:type="dxa" w:w="2160"/>
          </w:tcPr>
          <w:p>
            <w:r/>
            <w:r>
              <w:rPr>
                <w:sz w:val="18"/>
              </w:rPr>
              <w:t>TWAK, TST, SE</w:t>
            </w:r>
          </w:p>
        </w:tc>
      </w:tr>
      <w:tr>
        <w:tc>
          <w:tcPr>
            <w:tcW w:type="dxa" w:w="2160"/>
          </w:tcPr>
          <w:p>
            <w:r/>
            <w:r>
              <w:rPr>
                <w:sz w:val="18"/>
              </w:rPr>
              <w:t>6b</w:t>
            </w:r>
          </w:p>
        </w:tc>
        <w:tc>
          <w:tcPr>
            <w:tcW w:type="dxa" w:w="2160"/>
          </w:tcPr>
          <w:p>
            <w:r/>
            <w:r>
              <w:rPr>
                <w:sz w:val="18"/>
              </w:rPr>
              <w:t>Minutes trying after final wake</w:t>
            </w:r>
          </w:p>
        </w:tc>
        <w:tc>
          <w:tcPr>
            <w:tcW w:type="dxa" w:w="2160"/>
          </w:tcPr>
          <w:p>
            <w:r/>
            <w:r>
              <w:rPr>
                <w:sz w:val="18"/>
              </w:rPr>
              <w:t>twak_try_min</w:t>
            </w:r>
          </w:p>
        </w:tc>
        <w:tc>
          <w:tcPr>
            <w:tcW w:type="dxa" w:w="2160"/>
          </w:tcPr>
          <w:p>
            <w:r/>
            <w:r>
              <w:rPr>
                <w:sz w:val="18"/>
              </w:rPr>
              <w:t>Optional sensitivity; not required for primary TWAK</w:t>
            </w:r>
          </w:p>
        </w:tc>
      </w:tr>
      <w:tr>
        <w:tc>
          <w:tcPr>
            <w:tcW w:type="dxa" w:w="2160"/>
          </w:tcPr>
          <w:p>
            <w:r/>
            <w:r>
              <w:rPr>
                <w:sz w:val="18"/>
              </w:rPr>
              <w:t>6c / 6d</w:t>
            </w:r>
          </w:p>
        </w:tc>
        <w:tc>
          <w:tcPr>
            <w:tcW w:type="dxa" w:w="2160"/>
          </w:tcPr>
          <w:p>
            <w:r/>
            <w:r>
              <w:rPr>
                <w:sz w:val="18"/>
              </w:rPr>
              <w:t>Earlier than planned (yes/no and minutes)</w:t>
            </w:r>
          </w:p>
        </w:tc>
        <w:tc>
          <w:tcPr>
            <w:tcW w:type="dxa" w:w="2160"/>
          </w:tcPr>
          <w:p>
            <w:r/>
            <w:r>
              <w:rPr>
                <w:sz w:val="18"/>
              </w:rPr>
              <w:t>ema_yn, ema_min</w:t>
            </w:r>
          </w:p>
        </w:tc>
        <w:tc>
          <w:tcPr>
            <w:tcW w:type="dxa" w:w="2160"/>
          </w:tcPr>
          <w:p>
            <w:r/>
            <w:r>
              <w:rPr>
                <w:sz w:val="18"/>
              </w:rPr>
              <w:t>Not an index</w:t>
            </w:r>
          </w:p>
        </w:tc>
      </w:tr>
      <w:tr>
        <w:tc>
          <w:tcPr>
            <w:tcW w:type="dxa" w:w="2160"/>
          </w:tcPr>
          <w:p>
            <w:r/>
            <w:r>
              <w:rPr>
                <w:sz w:val="18"/>
              </w:rPr>
              <w:t>7</w:t>
            </w:r>
          </w:p>
        </w:tc>
        <w:tc>
          <w:tcPr>
            <w:tcW w:type="dxa" w:w="2160"/>
          </w:tcPr>
          <w:p>
            <w:r/>
            <w:r>
              <w:rPr>
                <w:sz w:val="18"/>
              </w:rPr>
              <w:t>Clock time out of bed for the day</w:t>
            </w:r>
          </w:p>
        </w:tc>
        <w:tc>
          <w:tcPr>
            <w:tcW w:type="dxa" w:w="2160"/>
          </w:tcPr>
          <w:p>
            <w:r/>
            <w:r>
              <w:rPr>
                <w:sz w:val="18"/>
              </w:rPr>
              <w:t>out_of_bed</w:t>
            </w:r>
          </w:p>
        </w:tc>
        <w:tc>
          <w:tcPr>
            <w:tcW w:type="dxa" w:w="2160"/>
          </w:tcPr>
          <w:p>
            <w:r/>
            <w:r>
              <w:rPr>
                <w:sz w:val="18"/>
              </w:rPr>
              <w:t>TIB, TWAK, TST, SE</w:t>
            </w:r>
          </w:p>
        </w:tc>
      </w:tr>
      <w:tr>
        <w:tc>
          <w:tcPr>
            <w:tcW w:type="dxa" w:w="2160"/>
          </w:tcPr>
          <w:p>
            <w:r/>
            <w:r>
              <w:rPr>
                <w:sz w:val="18"/>
              </w:rPr>
              <w:t>8</w:t>
            </w:r>
          </w:p>
        </w:tc>
        <w:tc>
          <w:tcPr>
            <w:tcW w:type="dxa" w:w="2160"/>
          </w:tcPr>
          <w:p>
            <w:r/>
            <w:r>
              <w:rPr>
                <w:sz w:val="18"/>
              </w:rPr>
              <w:t>Subjective estimated total sleep</w:t>
            </w:r>
          </w:p>
        </w:tc>
        <w:tc>
          <w:tcPr>
            <w:tcW w:type="dxa" w:w="2160"/>
          </w:tcPr>
          <w:p>
            <w:r/>
            <w:r>
              <w:rPr>
                <w:sz w:val="18"/>
              </w:rPr>
              <w:t>tst_subjective</w:t>
            </w:r>
          </w:p>
        </w:tc>
        <w:tc>
          <w:tcPr>
            <w:tcW w:type="dxa" w:w="2160"/>
          </w:tcPr>
          <w:p>
            <w:r/>
            <w:r>
              <w:rPr>
                <w:sz w:val="18"/>
              </w:rPr>
              <w:t>Exploratory only; not primary</w:t>
            </w:r>
          </w:p>
        </w:tc>
      </w:tr>
      <w:tr>
        <w:tc>
          <w:tcPr>
            <w:tcW w:type="dxa" w:w="2160"/>
          </w:tcPr>
          <w:p>
            <w:r/>
            <w:r>
              <w:rPr>
                <w:sz w:val="18"/>
              </w:rPr>
              <w:t>9</w:t>
            </w:r>
          </w:p>
        </w:tc>
        <w:tc>
          <w:tcPr>
            <w:tcW w:type="dxa" w:w="2160"/>
          </w:tcPr>
          <w:p>
            <w:r/>
            <w:r>
              <w:rPr>
                <w:sz w:val="18"/>
              </w:rPr>
              <w:t>Sleep quality (very poor to very good)</w:t>
            </w:r>
          </w:p>
        </w:tc>
        <w:tc>
          <w:tcPr>
            <w:tcW w:type="dxa" w:w="2160"/>
          </w:tcPr>
          <w:p>
            <w:r/>
            <w:r>
              <w:rPr>
                <w:sz w:val="18"/>
              </w:rPr>
              <w:t>sleep_quality</w:t>
            </w:r>
          </w:p>
        </w:tc>
        <w:tc>
          <w:tcPr>
            <w:tcW w:type="dxa" w:w="2160"/>
          </w:tcPr>
          <w:p>
            <w:r/>
            <w:r>
              <w:rPr>
                <w:sz w:val="18"/>
              </w:rPr>
              <w:t>Core construct, not an index</w:t>
            </w:r>
          </w:p>
        </w:tc>
      </w:tr>
      <w:tr>
        <w:tc>
          <w:tcPr>
            <w:tcW w:type="dxa" w:w="2160"/>
          </w:tcPr>
          <w:p>
            <w:r/>
            <w:r>
              <w:rPr>
                <w:sz w:val="18"/>
              </w:rPr>
              <w:t>10</w:t>
            </w:r>
          </w:p>
        </w:tc>
        <w:tc>
          <w:tcPr>
            <w:tcW w:type="dxa" w:w="2160"/>
          </w:tcPr>
          <w:p>
            <w:r/>
            <w:r>
              <w:rPr>
                <w:sz w:val="18"/>
              </w:rPr>
              <w:t>Rested or refreshed</w:t>
            </w:r>
          </w:p>
        </w:tc>
        <w:tc>
          <w:tcPr>
            <w:tcW w:type="dxa" w:w="2160"/>
          </w:tcPr>
          <w:p>
            <w:r/>
            <w:r>
              <w:rPr>
                <w:sz w:val="18"/>
              </w:rPr>
              <w:t>restedness</w:t>
            </w:r>
          </w:p>
        </w:tc>
        <w:tc>
          <w:tcPr>
            <w:tcW w:type="dxa" w:w="2160"/>
          </w:tcPr>
          <w:p>
            <w:r/>
            <w:r>
              <w:rPr>
                <w:sz w:val="18"/>
              </w:rPr>
              <w:t>Not an index</w:t>
            </w:r>
          </w:p>
        </w:tc>
      </w:tr>
      <w:tr>
        <w:tc>
          <w:tcPr>
            <w:tcW w:type="dxa" w:w="2160"/>
          </w:tcPr>
          <w:p>
            <w:r/>
            <w:r>
              <w:rPr>
                <w:sz w:val="18"/>
              </w:rPr>
              <w:t>11a / 11b</w:t>
            </w:r>
          </w:p>
        </w:tc>
        <w:tc>
          <w:tcPr>
            <w:tcW w:type="dxa" w:w="2160"/>
          </w:tcPr>
          <w:p>
            <w:r/>
            <w:r>
              <w:rPr>
                <w:sz w:val="18"/>
              </w:rPr>
              <w:t>Nap or doze count and duration</w:t>
            </w:r>
          </w:p>
        </w:tc>
        <w:tc>
          <w:tcPr>
            <w:tcW w:type="dxa" w:w="2160"/>
          </w:tcPr>
          <w:p>
            <w:r/>
            <w:r>
              <w:rPr>
                <w:sz w:val="18"/>
              </w:rPr>
              <w:t>naps[]</w:t>
            </w:r>
          </w:p>
        </w:tc>
        <w:tc>
          <w:tcPr>
            <w:tcW w:type="dxa" w:w="2160"/>
          </w:tcPr>
          <w:p>
            <w:r/>
            <w:r>
              <w:rPr>
                <w:sz w:val="18"/>
              </w:rPr>
              <w:t>Not nocturnal TST</w:t>
            </w:r>
          </w:p>
        </w:tc>
      </w:tr>
      <w:tr>
        <w:tc>
          <w:tcPr>
            <w:tcW w:type="dxa" w:w="2160"/>
          </w:tcPr>
          <w:p>
            <w:r/>
            <w:r>
              <w:rPr>
                <w:sz w:val="18"/>
              </w:rPr>
              <w:t>12–14</w:t>
            </w:r>
          </w:p>
        </w:tc>
        <w:tc>
          <w:tcPr>
            <w:tcW w:type="dxa" w:w="2160"/>
          </w:tcPr>
          <w:p>
            <w:r/>
            <w:r>
              <w:rPr>
                <w:sz w:val="18"/>
              </w:rPr>
              <w:t>Alcohol, caffeine, sleep medication</w:t>
            </w:r>
          </w:p>
        </w:tc>
        <w:tc>
          <w:tcPr>
            <w:tcW w:type="dxa" w:w="2160"/>
          </w:tcPr>
          <w:p>
            <w:r/>
            <w:r>
              <w:rPr>
                <w:sz w:val="18"/>
              </w:rPr>
              <w:t>alcohol_*, caffeine_*, sleep_med_* (text or count as collected)</w:t>
            </w:r>
          </w:p>
        </w:tc>
        <w:tc>
          <w:tcPr>
            <w:tcW w:type="dxa" w:w="2160"/>
          </w:tcPr>
          <w:p>
            <w:r/>
            <w:r>
              <w:rPr>
                <w:sz w:val="18"/>
              </w:rPr>
              <w:t>Covariates</w:t>
            </w:r>
          </w:p>
        </w:tc>
      </w:tr>
      <w:tr>
        <w:tc>
          <w:tcPr>
            <w:tcW w:type="dxa" w:w="2160"/>
          </w:tcPr>
          <w:p>
            <w:r/>
            <w:r>
              <w:rPr>
                <w:sz w:val="18"/>
              </w:rPr>
              <w:t>15</w:t>
            </w:r>
          </w:p>
        </w:tc>
        <w:tc>
          <w:tcPr>
            <w:tcW w:type="dxa" w:w="2160"/>
          </w:tcPr>
          <w:p>
            <w:r/>
            <w:r>
              <w:rPr>
                <w:sz w:val="18"/>
              </w:rPr>
              <w:t>Comments</w:t>
            </w:r>
          </w:p>
        </w:tc>
        <w:tc>
          <w:tcPr>
            <w:tcW w:type="dxa" w:w="2160"/>
          </w:tcPr>
          <w:p>
            <w:r/>
            <w:r>
              <w:rPr>
                <w:sz w:val="18"/>
              </w:rPr>
              <w:t>notes</w:t>
            </w:r>
          </w:p>
        </w:tc>
        <w:tc>
          <w:tcPr>
            <w:tcW w:type="dxa" w:w="2160"/>
          </w:tcPr>
          <w:p>
            <w:r/>
            <w:r>
              <w:rPr>
                <w:sz w:val="18"/>
              </w:rPr>
              <w:t>Free text; not a diagnosis</w:t>
            </w:r>
          </w:p>
        </w:tc>
      </w:tr>
    </w:tbl>
    <w:p/>
    <w:p>
      <w:pPr>
        <w:pStyle w:val="Heading2"/>
      </w:pPr>
      <w:r>
        <w:t>Usability</w:t>
      </w:r>
    </w:p>
    <w:p>
      <w:r>
        <w:t>System Usability Scale, 10 items, 5-point Likert, scored 0–100 (Brooke, 1996). Three structured questions (original to this protocol; not part of CSD-M): (1) After training, could you complete the Lazoo morning diary without help? (2) Was anything in Lazoo confusing compared with the paper or PDF diary? (3) Would you be willing to use Lazoo for a longer research period? Optional short interview on day 15.</w:t>
      </w:r>
    </w:p>
    <w:p>
      <w:pPr>
        <w:pStyle w:val="Heading2"/>
      </w:pPr>
      <w:r>
        <w:t>Background (non-diagnostic)</w:t>
      </w:r>
    </w:p>
    <w:p>
      <w:r>
        <w:t>Age, sex, whether the person currently keeps a sleep diary, and shift work in the previous 14 days. No diagnostic interview, no coded problem list and no diagnostic language on the CRF.</w:t>
      </w:r>
    </w:p>
    <w:p>
      <w:pPr>
        <w:pStyle w:val="Heading1"/>
      </w:pPr>
      <w:r>
        <w:t>11. Study Schedule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Activity</w:t>
            </w:r>
          </w:p>
        </w:tc>
        <w:tc>
          <w:tcPr>
            <w:tcW w:type="dxa" w:w="2160"/>
          </w:tcPr>
          <w:p>
            <w:r>
              <w:rPr>
                <w:b/>
              </w:rPr>
            </w:r>
            <w:r>
              <w:rPr>
                <w:b/>
                <w:sz w:val="18"/>
              </w:rPr>
              <w:t>Screen / day 0</w:t>
            </w:r>
          </w:p>
        </w:tc>
        <w:tc>
          <w:tcPr>
            <w:tcW w:type="dxa" w:w="2160"/>
          </w:tcPr>
          <w:p>
            <w:r>
              <w:rPr>
                <w:b/>
              </w:rPr>
            </w:r>
            <w:r>
              <w:rPr>
                <w:b/>
                <w:sz w:val="18"/>
              </w:rPr>
              <w:t>Mornings 1–14</w:t>
            </w:r>
          </w:p>
        </w:tc>
        <w:tc>
          <w:tcPr>
            <w:tcW w:type="dxa" w:w="2160"/>
          </w:tcPr>
          <w:p>
            <w:r>
              <w:rPr>
                <w:b/>
              </w:rPr>
            </w:r>
            <w:r>
              <w:rPr>
                <w:b/>
                <w:sz w:val="18"/>
              </w:rPr>
              <w:t>Day 15 close-out</w:t>
            </w:r>
          </w:p>
        </w:tc>
      </w:tr>
      <w:tr>
        <w:tc>
          <w:tcPr>
            <w:tcW w:type="dxa" w:w="2160"/>
          </w:tcPr>
          <w:p>
            <w:r/>
            <w:r>
              <w:rPr>
                <w:sz w:val="18"/>
              </w:rPr>
              <w:t>Eligibility, consent, ID issued</w:t>
            </w:r>
          </w:p>
        </w:tc>
        <w:tc>
          <w:tcPr>
            <w:tcW w:type="dxa" w:w="2160"/>
          </w:tcPr>
          <w:p>
            <w:r/>
            <w:r>
              <w:rPr>
                <w:sz w:val="18"/>
              </w:rPr>
              <w:t>X</w:t>
            </w:r>
          </w:p>
        </w:tc>
        <w:tc>
          <w:tcPr>
            <w:tcW w:type="dxa" w:w="2160"/>
          </w:tcPr>
          <w:p>
            <w:r/>
          </w:p>
        </w:tc>
        <w:tc>
          <w:tcPr>
            <w:tcW w:type="dxa" w:w="2160"/>
          </w:tcPr>
          <w:p>
            <w:r/>
          </w:p>
        </w:tc>
      </w:tr>
      <w:tr>
        <w:tc>
          <w:tcPr>
            <w:tcW w:type="dxa" w:w="2160"/>
          </w:tcPr>
          <w:p>
            <w:r/>
            <w:r>
              <w:rPr>
                <w:sz w:val="18"/>
              </w:rPr>
              <w:t>Training: CSD-M then Lazoo; two clocks (in_bed vs sleep_attempt)</w:t>
            </w:r>
          </w:p>
        </w:tc>
        <w:tc>
          <w:tcPr>
            <w:tcW w:type="dxa" w:w="2160"/>
          </w:tcPr>
          <w:p>
            <w:r/>
            <w:r>
              <w:rPr>
                <w:sz w:val="18"/>
              </w:rPr>
              <w:t>X</w:t>
            </w:r>
          </w:p>
        </w:tc>
        <w:tc>
          <w:tcPr>
            <w:tcW w:type="dxa" w:w="2160"/>
          </w:tcPr>
          <w:p>
            <w:r/>
          </w:p>
        </w:tc>
        <w:tc>
          <w:tcPr>
            <w:tcW w:type="dxa" w:w="2160"/>
          </w:tcPr>
          <w:p>
            <w:r/>
          </w:p>
        </w:tc>
      </w:tr>
      <w:tr>
        <w:tc>
          <w:tcPr>
            <w:tcW w:type="dxa" w:w="2160"/>
          </w:tcPr>
          <w:p>
            <w:r/>
            <w:r>
              <w:rPr>
                <w:sz w:val="18"/>
              </w:rPr>
              <w:t>Restricted-app access issued (Unlisted or closed testing)</w:t>
            </w:r>
          </w:p>
        </w:tc>
        <w:tc>
          <w:tcPr>
            <w:tcW w:type="dxa" w:w="2160"/>
          </w:tcPr>
          <w:p>
            <w:r/>
            <w:r>
              <w:rPr>
                <w:sz w:val="18"/>
              </w:rPr>
              <w:t>X</w:t>
            </w:r>
          </w:p>
        </w:tc>
        <w:tc>
          <w:tcPr>
            <w:tcW w:type="dxa" w:w="2160"/>
          </w:tcPr>
          <w:p>
            <w:r/>
          </w:p>
        </w:tc>
        <w:tc>
          <w:tcPr>
            <w:tcW w:type="dxa" w:w="2160"/>
          </w:tcPr>
          <w:p>
            <w:r/>
          </w:p>
        </w:tc>
      </w:tr>
      <w:tr>
        <w:tc>
          <w:tcPr>
            <w:tcW w:type="dxa" w:w="2160"/>
          </w:tcPr>
          <w:p>
            <w:r/>
            <w:r>
              <w:rPr>
                <w:sz w:val="18"/>
              </w:rPr>
              <w:t>CSD-M then Lazoo, same sitting</w:t>
            </w:r>
          </w:p>
        </w:tc>
        <w:tc>
          <w:tcPr>
            <w:tcW w:type="dxa" w:w="2160"/>
          </w:tcPr>
          <w:p>
            <w:r/>
          </w:p>
        </w:tc>
        <w:tc>
          <w:tcPr>
            <w:tcW w:type="dxa" w:w="2160"/>
          </w:tcPr>
          <w:p>
            <w:r/>
            <w:r>
              <w:rPr>
                <w:sz w:val="18"/>
              </w:rPr>
              <w:t>Each morning</w:t>
            </w:r>
          </w:p>
        </w:tc>
        <w:tc>
          <w:tcPr>
            <w:tcW w:type="dxa" w:w="2160"/>
          </w:tcPr>
          <w:p>
            <w:r/>
          </w:p>
        </w:tc>
      </w:tr>
      <w:tr>
        <w:tc>
          <w:tcPr>
            <w:tcW w:type="dxa" w:w="2160"/>
          </w:tcPr>
          <w:p>
            <w:r/>
            <w:r>
              <w:rPr>
                <w:sz w:val="18"/>
              </w:rPr>
              <w:t>Deviation and missed-morning log</w:t>
            </w:r>
          </w:p>
        </w:tc>
        <w:tc>
          <w:tcPr>
            <w:tcW w:type="dxa" w:w="2160"/>
          </w:tcPr>
          <w:p>
            <w:r/>
          </w:p>
        </w:tc>
        <w:tc>
          <w:tcPr>
            <w:tcW w:type="dxa" w:w="2160"/>
          </w:tcPr>
          <w:p>
            <w:r/>
            <w:r>
              <w:rPr>
                <w:sz w:val="18"/>
              </w:rPr>
              <w:t>As needed</w:t>
            </w:r>
          </w:p>
        </w:tc>
        <w:tc>
          <w:tcPr>
            <w:tcW w:type="dxa" w:w="2160"/>
          </w:tcPr>
          <w:p>
            <w:r/>
            <w:r>
              <w:rPr>
                <w:sz w:val="18"/>
              </w:rPr>
              <w:t>X</w:t>
            </w:r>
          </w:p>
        </w:tc>
      </w:tr>
      <w:tr>
        <w:tc>
          <w:tcPr>
            <w:tcW w:type="dxa" w:w="2160"/>
          </w:tcPr>
          <w:p>
            <w:r/>
            <w:r>
              <w:rPr>
                <w:sz w:val="18"/>
              </w:rPr>
              <w:t>Return CSD-M source worksheets</w:t>
            </w:r>
          </w:p>
        </w:tc>
        <w:tc>
          <w:tcPr>
            <w:tcW w:type="dxa" w:w="2160"/>
          </w:tcPr>
          <w:p>
            <w:r/>
          </w:p>
        </w:tc>
        <w:tc>
          <w:tcPr>
            <w:tcW w:type="dxa" w:w="2160"/>
          </w:tcPr>
          <w:p>
            <w:r/>
          </w:p>
        </w:tc>
        <w:tc>
          <w:tcPr>
            <w:tcW w:type="dxa" w:w="2160"/>
          </w:tcPr>
          <w:p>
            <w:r/>
            <w:r>
              <w:rPr>
                <w:sz w:val="18"/>
              </w:rPr>
              <w:t>X</w:t>
            </w:r>
          </w:p>
        </w:tc>
      </w:tr>
      <w:tr>
        <w:tc>
          <w:tcPr>
            <w:tcW w:type="dxa" w:w="2160"/>
          </w:tcPr>
          <w:p>
            <w:r/>
            <w:r>
              <w:rPr>
                <w:sz w:val="18"/>
              </w:rPr>
              <w:t>Lazoo JSON and CSV export receipt</w:t>
            </w:r>
          </w:p>
        </w:tc>
        <w:tc>
          <w:tcPr>
            <w:tcW w:type="dxa" w:w="2160"/>
          </w:tcPr>
          <w:p>
            <w:r/>
          </w:p>
        </w:tc>
        <w:tc>
          <w:tcPr>
            <w:tcW w:type="dxa" w:w="2160"/>
          </w:tcPr>
          <w:p>
            <w:r/>
          </w:p>
        </w:tc>
        <w:tc>
          <w:tcPr>
            <w:tcW w:type="dxa" w:w="2160"/>
          </w:tcPr>
          <w:p>
            <w:r/>
            <w:r>
              <w:rPr>
                <w:sz w:val="18"/>
              </w:rPr>
              <w:t>X</w:t>
            </w:r>
          </w:p>
        </w:tc>
      </w:tr>
      <w:tr>
        <w:tc>
          <w:tcPr>
            <w:tcW w:type="dxa" w:w="2160"/>
          </w:tcPr>
          <w:p>
            <w:r/>
            <w:r>
              <w:rPr>
                <w:sz w:val="18"/>
              </w:rPr>
              <w:t>SUS and three structured questions</w:t>
            </w:r>
          </w:p>
        </w:tc>
        <w:tc>
          <w:tcPr>
            <w:tcW w:type="dxa" w:w="2160"/>
          </w:tcPr>
          <w:p>
            <w:r/>
          </w:p>
        </w:tc>
        <w:tc>
          <w:tcPr>
            <w:tcW w:type="dxa" w:w="2160"/>
          </w:tcPr>
          <w:p>
            <w:r/>
          </w:p>
        </w:tc>
        <w:tc>
          <w:tcPr>
            <w:tcW w:type="dxa" w:w="2160"/>
          </w:tcPr>
          <w:p>
            <w:r/>
            <w:r>
              <w:rPr>
                <w:sz w:val="18"/>
              </w:rPr>
              <w:t>X</w:t>
            </w:r>
          </w:p>
        </w:tc>
      </w:tr>
      <w:tr>
        <w:tc>
          <w:tcPr>
            <w:tcW w:type="dxa" w:w="2160"/>
          </w:tcPr>
          <w:p>
            <w:r/>
            <w:r>
              <w:rPr>
                <w:sz w:val="18"/>
              </w:rPr>
              <w:t>Optional interview</w:t>
            </w:r>
          </w:p>
        </w:tc>
        <w:tc>
          <w:tcPr>
            <w:tcW w:type="dxa" w:w="2160"/>
          </w:tcPr>
          <w:p>
            <w:r/>
          </w:p>
        </w:tc>
        <w:tc>
          <w:tcPr>
            <w:tcW w:type="dxa" w:w="2160"/>
          </w:tcPr>
          <w:p>
            <w:r/>
          </w:p>
        </w:tc>
        <w:tc>
          <w:tcPr>
            <w:tcW w:type="dxa" w:w="2160"/>
          </w:tcPr>
          <w:p>
            <w:r/>
            <w:r>
              <w:rPr>
                <w:sz w:val="18"/>
              </w:rPr>
              <w:t>X</w:t>
            </w:r>
          </w:p>
        </w:tc>
      </w:tr>
      <w:tr>
        <w:tc>
          <w:tcPr>
            <w:tcW w:type="dxa" w:w="2160"/>
          </w:tcPr>
          <w:p>
            <w:r/>
            <w:r>
              <w:rPr>
                <w:sz w:val="18"/>
              </w:rPr>
              <w:t>Distress signposting available</w:t>
            </w:r>
          </w:p>
        </w:tc>
        <w:tc>
          <w:tcPr>
            <w:tcW w:type="dxa" w:w="2160"/>
          </w:tcPr>
          <w:p>
            <w:r/>
            <w:r>
              <w:rPr>
                <w:sz w:val="18"/>
              </w:rPr>
              <w:t>X</w:t>
            </w:r>
          </w:p>
        </w:tc>
        <w:tc>
          <w:tcPr>
            <w:tcW w:type="dxa" w:w="2160"/>
          </w:tcPr>
          <w:p>
            <w:r/>
            <w:r>
              <w:rPr>
                <w:sz w:val="18"/>
              </w:rPr>
              <w:t>X</w:t>
            </w:r>
          </w:p>
        </w:tc>
        <w:tc>
          <w:tcPr>
            <w:tcW w:type="dxa" w:w="2160"/>
          </w:tcPr>
          <w:p>
            <w:r/>
            <w:r>
              <w:rPr>
                <w:sz w:val="18"/>
              </w:rPr>
              <w:t>X</w:t>
            </w:r>
          </w:p>
        </w:tc>
      </w:tr>
      <w:tr>
        <w:tc>
          <w:tcPr>
            <w:tcW w:type="dxa" w:w="2160"/>
          </w:tcPr>
          <w:p>
            <w:r/>
            <w:r>
              <w:rPr>
                <w:sz w:val="18"/>
              </w:rPr>
              <w:t>Actigraphy</w:t>
            </w:r>
          </w:p>
        </w:tc>
        <w:tc>
          <w:tcPr>
            <w:tcW w:type="dxa" w:w="2160"/>
          </w:tcPr>
          <w:p>
            <w:r/>
            <w:r>
              <w:rPr>
                <w:sz w:val="18"/>
              </w:rPr>
              <w:t>Not included</w:t>
            </w:r>
          </w:p>
        </w:tc>
        <w:tc>
          <w:tcPr>
            <w:tcW w:type="dxa" w:w="2160"/>
          </w:tcPr>
          <w:p>
            <w:r/>
            <w:r>
              <w:rPr>
                <w:sz w:val="18"/>
              </w:rPr>
              <w:t>Not included</w:t>
            </w:r>
          </w:p>
        </w:tc>
        <w:tc>
          <w:tcPr>
            <w:tcW w:type="dxa" w:w="2160"/>
          </w:tcPr>
          <w:p>
            <w:r/>
            <w:r>
              <w:rPr>
                <w:sz w:val="18"/>
              </w:rPr>
              <w:t>Not included</w:t>
            </w:r>
          </w:p>
        </w:tc>
      </w:tr>
    </w:tbl>
    <w:p/>
    <w:p>
      <w:r>
        <w:t>Windows: a morning diary is expected after the main sleep episode, on the same calendar morning. Entries more than 24 hours late are marked late; the SAP will state whether late entries remain primary-evaluable (default: no, if either diary was completed after the next night’s sleep_attempt).</w:t>
      </w:r>
    </w:p>
    <w:p>
      <w:pPr>
        <w:pStyle w:val="Heading1"/>
      </w:pPr>
      <w:r>
        <w:t>12. Endpoints</w:t>
      </w:r>
    </w:p>
    <w:p>
      <w:r>
        <w:t>For this agreement study, calculated TST is the primary study quantity. It is not a product claim. The two bedtime clock times are kept separate, and item 8 remains exploratory.</w:t>
      </w:r>
    </w:p>
    <w:p>
      <w:pPr>
        <w:pStyle w:val="Heading2"/>
      </w:pPr>
      <w:r>
        <w:t>Derived quantities (both diaries, same formula)</w:t>
      </w:r>
    </w:p>
    <w:p>
      <w:r>
        <w:t>Clock times are datetimes on the diary_date (with the previous calendar day allowed for in_bed and sleep_attempt). Durations are in minutes.</w:t>
      </w:r>
    </w:p>
    <w:p>
      <w:pPr>
        <w:pStyle w:val="ListBullet"/>
      </w:pPr>
      <w:r>
        <w:t>TWAK = out_of_bed − wake</w:t>
      </w:r>
    </w:p>
    <w:p>
      <w:pPr>
        <w:pStyle w:val="ListBullet"/>
      </w:pPr>
      <w:r>
        <w:t>TST = (out_of_bed − sleep_attempt) − SOL − WASO − TWAK</w:t>
      </w:r>
    </w:p>
    <w:p>
      <w:pPr>
        <w:pStyle w:val="ListBullet"/>
      </w:pPr>
      <w:r>
        <w:t>TIB = out_of_bed − in_bed</w:t>
      </w:r>
    </w:p>
    <w:p>
      <w:pPr>
        <w:pStyle w:val="ListBullet"/>
      </w:pPr>
      <w:r>
        <w:t>SE = TST / TIB × 100</w:t>
      </w:r>
    </w:p>
    <w:p>
      <w:pPr>
        <w:pStyle w:val="ListBullet"/>
      </w:pPr>
      <w:r>
        <w:t>sleep_onset (derived, not asked as a clock time) = sleep_attempt + SOL</w:t>
      </w:r>
    </w:p>
    <w:p>
      <w:r>
        <w:t>in_bed and sleep_attempt must not be collapsed. Naps and dozes do not enter nocturnal TST. WASO is the total of awakenings excluding the final wake. Primary TWAK uses out_of_bed − wake, not CSD-M item 6b. Item 6b (twak_try_min) may be used only in a pre-specified sensitivity analysis if collected.</w:t>
      </w:r>
    </w:p>
    <w:p>
      <w:r>
        <w:t>A primary-evaluable paired morning has, on both diaries, sleep_attempt, SOL, WASO, wake and out_of_bed, all internally consistent (out_of_bed ≥ wake ≥ sleep_attempt; SOL ≥ 0; WASO ≥ 0; TST ≥ 0). in_bed is required for TIB and SE secondary analyses and is still collected every morning.</w:t>
      </w:r>
    </w:p>
    <w:p>
      <w:pPr>
        <w:pStyle w:val="Heading2"/>
      </w:pPr>
      <w:r>
        <w:t>Primary endpoint</w:t>
      </w:r>
    </w:p>
    <w:p>
      <w:r>
        <w:t>Night-level difference in calculated TST: Lazoo minus CSD-M, in minutes. Analysis: Bland–Altman mean bias and 95% limits of agreement, with nights clustered within participant. No diagnostic cut-point. No claim that Lazoo is valid for diagnosing insomnia or any other condition.</w:t>
      </w:r>
    </w:p>
    <w:p>
      <w:pPr>
        <w:pStyle w:val="Heading2"/>
      </w:pPr>
      <w:r>
        <w:t>Secondary endpoints</w:t>
      </w:r>
    </w:p>
    <w:p>
      <w:pPr>
        <w:pStyle w:val="ListBullet"/>
      </w:pPr>
      <w:r>
        <w:t>Bland–Altman (and ICC, method in SAP) for SOL, WASO, SE and awakenings_n.</w:t>
      </w:r>
    </w:p>
    <w:p>
      <w:pPr>
        <w:pStyle w:val="ListBullet"/>
      </w:pPr>
      <w:r>
        <w:t>Completeness: proportion of mornings with both diaries; item-level missingness; proportion of participants who are completers (at least 10 of 14 evaluable paired mornings).</w:t>
      </w:r>
    </w:p>
    <w:p>
      <w:pPr>
        <w:pStyle w:val="ListBullet"/>
      </w:pPr>
      <w:r>
        <w:t>Timestamp and audit: proportion of Lazoo entries with client and server timestamps; proportion of edits with who, what and when recorded and the original value retained.</w:t>
      </w:r>
    </w:p>
    <w:p>
      <w:pPr>
        <w:pStyle w:val="ListBullet"/>
      </w:pPr>
      <w:r>
        <w:t>SUS total score (0–100); descriptive summaries of the three structured questions.</w:t>
      </w:r>
    </w:p>
    <w:p>
      <w:pPr>
        <w:pStyle w:val="Heading2"/>
      </w:pPr>
      <w:r>
        <w:t>Exploratory</w:t>
      </w:r>
    </w:p>
    <w:p>
      <w:r>
        <w:t>Calculated TST versus tst_subjective (CSD-M item 8 construct) on each diary; between-diary difference on item 8. Lifestyle text and naps as covariates or descriptors only.</w:t>
      </w:r>
    </w:p>
    <w:p>
      <w:pPr>
        <w:pStyle w:val="Heading2"/>
      </w:pPr>
      <w:r>
        <w:t>Sample size</w:t>
      </w:r>
    </w:p>
    <w:p>
      <w:r>
        <w:t>Feasibility floor: 30 completers. This is not the final n. The signed SAP will calculate n, with a sleep statistician, so that the 95% confidence interval around the TST limits of agreement is usable. Until the SAP is signed, 30 is not described as a powered Bland–Altman sample.</w:t>
      </w:r>
    </w:p>
    <w:p>
      <w:r>
        <w:t>To be confirmed: signed SAP and statistician appointment.</w:t>
      </w:r>
    </w:p>
    <w:p>
      <w:pPr>
        <w:pStyle w:val="Heading1"/>
      </w:pPr>
      <w:r>
        <w:t>13. Safety Reporting</w:t>
      </w:r>
    </w:p>
    <w:p>
      <w:r>
        <w:t>This study makes no clinical claim and delivers no in-app interpretation. The device vigilance and incident-reporting route is to be confirmed once UK MDR clinical-investigation status is determined (see Ethics and Regulatory Considerations).</w:t>
      </w:r>
    </w:p>
    <w:p>
      <w:r>
        <w:t>If a participant reports distress, study staff signpost them to their GP, NHS 111 or Samaritans (116 123). No NHS PALS contact is printed on sponsor participant documents. The signposting is recorded on the adverse event and distress log.</w:t>
      </w:r>
    </w:p>
    <w:p>
      <w:r>
        <w:t>Adverse events that come to the attention of the Chief Investigator or the Partner site Principal Investigator between consent and close-out are recorded (onset, description, outcome, and relatedness to study procedures, for example distress while completing diaries). Serious events are notified to the sponsor (admin@sleepandhealth.org) within 24 hours of the investigator becoming aware, and to the ethics committee where the approved documents require it. The Partner site’s reporting obligations to the sponsor are to be set out in the site/services agreement.</w:t>
      </w:r>
    </w:p>
    <w:p>
      <w:r>
        <w:t>The app is not an emergency service. The participant information sheet will say so in plain language.</w:t>
      </w:r>
    </w:p>
    <w:p>
      <w:pPr>
        <w:pStyle w:val="Heading1"/>
      </w:pPr>
      <w:r>
        <w:t>14. Data Management</w:t>
      </w:r>
    </w:p>
    <w:p>
      <w:r>
        <w:t>Full rules are in the LAZ-VAL-001 DMP (version 0.3, 11 October 2026). Summary:</w:t>
      </w:r>
    </w:p>
    <w:p>
      <w:pPr>
        <w:pStyle w:val="ListBullet"/>
      </w:pPr>
      <w:r>
        <w:t>Lazoo export: JSON and CSV, raw timestamps, study_link, consent-pack version, app version and operating system.</w:t>
      </w:r>
    </w:p>
    <w:p>
      <w:pPr>
        <w:pStyle w:val="ListBullet"/>
      </w:pPr>
      <w:r>
        <w:t>CSD-M: source worksheets retained (if licensed) or construct worksheets; double-entered or photographed with a file log.</w:t>
      </w:r>
    </w:p>
    <w:p>
      <w:pPr>
        <w:pStyle w:val="ListBullet"/>
      </w:pPr>
      <w:r>
        <w:t>Pairing key: participant ID and diary_date.</w:t>
      </w:r>
    </w:p>
    <w:p>
      <w:pPr>
        <w:pStyle w:val="ListBullet"/>
      </w:pPr>
      <w:r>
        <w:t>Lazoo edits: append-only audit trail (who, what, when); original value retained.</w:t>
      </w:r>
    </w:p>
    <w:p>
      <w:pPr>
        <w:pStyle w:val="ListBullet"/>
      </w:pPr>
      <w:r>
        <w:t>Identifiable files on sponsor-controlled storage. Analysis file pseudonymised. Partner site handling of identifiable data to be limited to what the site/services agreement and DPIA permit.</w:t>
      </w:r>
    </w:p>
    <w:p>
      <w:pPr>
        <w:pStyle w:val="ListBullet"/>
      </w:pPr>
      <w:r>
        <w:t>Default consents: toggles 1 and 3 only. Toggle 4 off unless added by amendment. No training of a future model on these data without toggle 4 and a protocol that says so.</w:t>
      </w:r>
    </w:p>
    <w:p>
      <w:pPr>
        <w:pStyle w:val="ListBullet"/>
      </w:pPr>
      <w:r>
        <w:t>No participant-identifiable exports by open email.</w:t>
      </w:r>
    </w:p>
    <w:p>
      <w:pPr>
        <w:pStyle w:val="ListBullet"/>
      </w:pPr>
      <w:r>
        <w:t xml:space="preserve">No identifiable free text leaves </w:t>
      </w:r>
      <w:r>
        <w:rPr>
          <w:strike/>
        </w:rPr>
        <w:t>Sleep and Health Clinic App Ltd</w:t>
      </w:r>
      <w:r>
        <w:rPr/>
        <w:t xml:space="preserve"> SHC Sleep Solutions Limited</w:t>
      </w:r>
      <w:r>
        <w:t>. Free-text fields (for example diary comments and interview notes) are reviewed and stripped of identifiers before any analysis file is shared.</w:t>
      </w:r>
    </w:p>
    <w:p>
      <w:pPr>
        <w:pStyle w:val="ListBullet"/>
      </w:pPr>
      <w:r>
        <w:t>Any transfer of study data from the sponsor to another party, including the Partner site, a statistician or a vendor, requires a current data note approved by the sponsor before transfer. Earlier data-sharing notes do not cover this study.</w:t>
      </w:r>
    </w:p>
    <w:p>
      <w:r>
        <w:t xml:space="preserve">Data controller for this study: </w:t>
      </w:r>
      <w:r>
        <w:rPr>
          <w:strike/>
        </w:rPr>
        <w:t>Sleep and Health Clinic App Ltd</w:t>
      </w:r>
      <w:r>
        <w:rPr/>
        <w:t xml:space="preserve"> SHC Sleep Solutions Limited</w:t>
      </w:r>
      <w:r>
        <w:t>. The Partner site acts as processor for study data (see Information Governance and UK GDPR). Sleep and Health Clinic Ltd is not a controller and does not receive identifiable study data.</w:t>
      </w:r>
    </w:p>
    <w:p>
      <w:pPr>
        <w:pStyle w:val="Heading1"/>
      </w:pPr>
      <w:r>
        <w:t>15. Statistical Analysis Plan</w:t>
      </w:r>
    </w:p>
    <w:p>
      <w:r>
        <w:t>A separate signed SAP will be filed before database lock and before any ethics submission. Until then, the following is sufficient to design the CRF and DMP but is not a substitute for the SAP.</w:t>
      </w:r>
    </w:p>
    <w:p>
      <w:pPr>
        <w:pStyle w:val="ListBullet"/>
      </w:pPr>
      <w:r>
        <w:t>Analysis populations: (i) all consented; (ii) completers (at least 10 of 14 evaluable paired mornings), the feasibility population; (iii) all evaluable paired mornings.</w:t>
      </w:r>
    </w:p>
    <w:p>
      <w:pPr>
        <w:pStyle w:val="ListBullet"/>
      </w:pPr>
      <w:r>
        <w:t>Primary: Bland–Altman of night-level calculated TST (Lazoo − CSD-M). Report mean bias, SD of differences and 95% limits of agreement. Clustering of nights within person will be handled by a method named in the SAP (for example Bland and Altman 2007 repeated-measures limits, or a mixed-effects residual SD).</w:t>
      </w:r>
    </w:p>
    <w:p>
      <w:pPr>
        <w:pStyle w:val="ListBullet"/>
      </w:pPr>
      <w:r>
        <w:t>Secondary agreement: the same approach for SOL, WASO, SE and awakenings_n; ICC for absolute agreement, specification in the SAP.</w:t>
      </w:r>
    </w:p>
    <w:p>
      <w:pPr>
        <w:pStyle w:val="ListBullet"/>
      </w:pPr>
      <w:r>
        <w:t>Completeness, timestamps and SUS: descriptive. No multiplicity adjustment unless the SAP adds one.</w:t>
      </w:r>
    </w:p>
    <w:p>
      <w:pPr>
        <w:pStyle w:val="ListBullet"/>
      </w:pPr>
      <w:r>
        <w:t>Missing data: primary analysis on evaluable paired mornings. No imputation of clock times for the primary analysis unless the SAP defines a rule.</w:t>
      </w:r>
    </w:p>
    <w:p>
      <w:pPr>
        <w:pStyle w:val="ListBullet"/>
      </w:pPr>
      <w:r>
        <w:t>No diagnostic cut-points, ROC curves or diagnostic-accuracy analyses.</w:t>
      </w:r>
    </w:p>
    <w:p>
      <w:pPr>
        <w:pStyle w:val="ListBullet"/>
      </w:pPr>
      <w:r>
        <w:t>Software: to be named in the SAP.</w:t>
      </w:r>
    </w:p>
    <w:p>
      <w:r>
        <w:t>The analysis is conducted by or for the sponsor. Results and analysis files belong to the sponsor (see Intellectual Property and Data Ownership).</w:t>
      </w:r>
    </w:p>
    <w:p>
      <w:pPr>
        <w:pStyle w:val="Heading1"/>
      </w:pPr>
      <w:r>
        <w:t>16. Ethics and Regulatory Considerations</w:t>
      </w:r>
    </w:p>
    <w:p>
      <w:pPr>
        <w:pStyle w:val="ListBullet"/>
      </w:pPr>
      <w:r>
        <w:t>This is research (generalisable knowledge about diary agreement and usability). Independent ethics review is required before the first participant. Not submitted. No IRAS ID. No favourable opinion.</w:t>
      </w:r>
    </w:p>
    <w:p>
      <w:pPr>
        <w:pStyle w:val="ListBullet"/>
      </w:pPr>
      <w:r>
        <w:t>Ethics and approvals route: to be confirmed. If the Partner site is an NHS organisation, the study is expected to need submission through IRAS, NHS REC review and HRA Approval before the site opens. If the Partner site is a university and no NHS organisation is involved, the appropriate ethics route is to be confirmed. The HRA decision tools are to be run and the outcome filed.</w:t>
      </w:r>
    </w:p>
    <w:p>
      <w:pPr>
        <w:pStyle w:val="ListBullet"/>
      </w:pPr>
      <w:r>
        <w:t>Not a CTIMP. No MHRA clinical trial authorisation.</w:t>
      </w:r>
    </w:p>
    <w:p>
      <w:pPr>
        <w:pStyle w:val="ListBullet"/>
      </w:pPr>
      <w:r>
        <w:t>UK MDR 2002 clinical-investigation status: to be confirmed. The applicable provision is regulation 16 of the Medical Devices Regulations 2002 (procedures for general medical devices for clinical investigations). Regulation 29 applies only to active implantable medical devices and does not apply to Lazoo. Because the draft intended purpose now includes insomnia diagnosis and monitoring, the sponsor must determine, before submission, whether this study is a clinical investigation of a medical device requiring notification to the MHRA. No MHRA notification has been made, and this protocol does not state that notification is unnecessary.</w:t>
      </w:r>
    </w:p>
    <w:p>
      <w:pPr>
        <w:pStyle w:val="ListBullet"/>
      </w:pPr>
      <w:r>
        <w:t>Transparency: register before the first participant (ISRCTN or equivalent). Not yet registered.</w:t>
      </w:r>
    </w:p>
    <w:p>
      <w:pPr>
        <w:pStyle w:val="ListBullet"/>
      </w:pPr>
      <w:r>
        <w:t xml:space="preserve">Sponsor duties: </w:t>
      </w:r>
      <w:r>
        <w:rPr>
          <w:strike/>
        </w:rPr>
        <w:t>Sleep and Health Clinic App Ltd</w:t>
      </w:r>
      <w:r>
        <w:rPr/>
        <w:t xml:space="preserve"> SHC Sleep Solutions Limited</w:t>
      </w:r>
      <w:r>
        <w:t xml:space="preserve"> accepts the sponsor responsibilities set out in the UK Policy Framework for Health and Social Care Research. Duties delegated to the Partner site are to be set out in the site/services agreement and the delegation logs. Sponsor duties are not delegated to Sleep and Health Clinic Ltd.</w:t>
      </w:r>
    </w:p>
    <w:p>
      <w:pPr>
        <w:pStyle w:val="ListBullet"/>
      </w:pPr>
      <w:r>
        <w:t>Participant-facing contact: admin@sleepandhealth.org, plus any Partner site contact approved by the ethics committee. No personal email address. No NHS PALS line on sponsor documents.</w:t>
      </w:r>
    </w:p>
    <w:p>
      <w:pPr>
        <w:pStyle w:val="ListBullet"/>
      </w:pPr>
      <w:r>
        <w:t>Consent toggles as in LAZ-TPL-CONSENT. This study requires toggles 1 and 3. Toggle 4 default off.</w:t>
      </w:r>
    </w:p>
    <w:p>
      <w:pPr>
        <w:pStyle w:val="ListBullet"/>
      </w:pPr>
      <w:r>
        <w:t>Conflicts of interest are declared in the ethics submission and the participant information sheet (see Study Management, Roles and Delegation).</w:t>
      </w:r>
    </w:p>
    <w:p>
      <w:r>
        <w:t>The UK Policy Framework for Health and Social Care Research applies. ICH E6(R3) is used as good practice for essential records; this is not a CTIMP trial master file.</w:t>
      </w:r>
    </w:p>
    <w:p>
      <w:pPr>
        <w:pStyle w:val="Heading1"/>
      </w:pPr>
      <w:r>
        <w:t>17. Sponsorship, Funding and Contracts</w:t>
      </w:r>
    </w:p>
    <w:p>
      <w:pPr>
        <w:pStyle w:val="Heading2"/>
      </w:pPr>
      <w:r>
        <w:t>Sponsorship</w:t>
      </w:r>
    </w:p>
    <w:p>
      <w:r>
        <w:rPr>
          <w:strike/>
        </w:rPr>
        <w:t>Sleep and Health Clinic App Ltd</w:t>
      </w:r>
      <w:r>
        <w:rPr/>
        <w:t xml:space="preserve"> SHC Sleep Solutions Limited</w:t>
      </w:r>
      <w:r>
        <w:t xml:space="preserve"> (12467350) is the sole sponsor. There is no co-sponsor and no joint sponsor. The Partner site and Sleep and Health Clinic Ltd do not act as sponsor, co-sponsor or legal representative.</w:t>
      </w:r>
    </w:p>
    <w:p>
      <w:pPr>
        <w:pStyle w:val="Heading2"/>
      </w:pPr>
      <w:r>
        <w:t>Sponsor oversight</w:t>
      </w:r>
    </w:p>
    <w:p>
      <w:r>
        <w:t>The sponsor holds, or will hold before submission, the documents listed in Appendix O. Each is shown as signed, draft or not started, with an owner. Sponsor duties are not delegated to the partner site except as set out in the site agreement and delegation log.</w:t>
      </w:r>
    </w:p>
    <w:p>
      <w:pPr>
        <w:pStyle w:val="Heading2"/>
      </w:pPr>
      <w:r>
        <w:t>Funding</w:t>
      </w:r>
    </w:p>
    <w:p>
      <w:r>
        <w:rPr>
          <w:strike/>
        </w:rPr>
        <w:t>Sleep and Health Clinic App Ltd</w:t>
      </w:r>
      <w:r>
        <w:rPr/>
        <w:t xml:space="preserve"> SHC Sleep Solutions Limited</w:t>
      </w:r>
      <w:r>
        <w:t xml:space="preserve"> holds and administers all study funds. As at 11 October 2026 the study is funded internally by the sponsor and no external grant has been awarded. If external funding is obtained (for example an NIHR i4i award), it will be awarded to and held by the sponsor as lead applicant, and any partner participation will be paid by the sponsor. The status of any funding application is to be confirmed.</w:t>
      </w:r>
    </w:p>
    <w:p>
      <w:r>
        <w:t>The Partner site is paid by the sponsor for services delivered under the site/services agreement, against a costed schedule. Costs and payment terms are to be confirmed. No study funds are paid to, or held by, the Partner site other than under that agreement. Consideration for clinical advice from Sleep and Health Clinic Ltd is as set out in LAZ-AGR-001 and is to be confirmed before signature.</w:t>
      </w:r>
    </w:p>
    <w:p>
      <w:pPr>
        <w:pStyle w:val="Heading2"/>
      </w:pPr>
      <w:r>
        <w:t>Contracts and agreements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sz w:val="18"/>
              </w:rPr>
              <w:t>Agreement</w:t>
            </w:r>
          </w:p>
        </w:tc>
        <w:tc>
          <w:tcPr>
            <w:tcW w:type="dxa" w:w="2160"/>
          </w:tcPr>
          <w:p>
            <w:r>
              <w:rPr>
                <w:b/>
              </w:rPr>
            </w:r>
            <w:r>
              <w:rPr>
                <w:b/>
                <w:sz w:val="18"/>
              </w:rPr>
              <w:t>Parties</w:t>
            </w:r>
          </w:p>
        </w:tc>
        <w:tc>
          <w:tcPr>
            <w:tcW w:type="dxa" w:w="2160"/>
          </w:tcPr>
          <w:p>
            <w:r>
              <w:rPr>
                <w:b/>
              </w:rPr>
            </w:r>
            <w:r>
              <w:rPr>
                <w:b/>
                <w:sz w:val="18"/>
              </w:rPr>
              <w:t>Purpose</w:t>
            </w:r>
          </w:p>
        </w:tc>
        <w:tc>
          <w:tcPr>
            <w:tcW w:type="dxa" w:w="2160"/>
          </w:tcPr>
          <w:p>
            <w:r>
              <w:rPr>
                <w:b/>
              </w:rPr>
            </w:r>
            <w:r>
              <w:rPr>
                <w:b/>
                <w:sz w:val="18"/>
              </w:rPr>
              <w:t>Status at 11 October 2026</w:t>
            </w:r>
          </w:p>
        </w:tc>
      </w:tr>
      <w:tr>
        <w:tc>
          <w:tcPr>
            <w:tcW w:type="dxa" w:w="2160"/>
          </w:tcPr>
          <w:p>
            <w:r/>
            <w:r>
              <w:rPr>
                <w:sz w:val="18"/>
              </w:rPr>
              <w:t>Site/services agreement</w:t>
            </w:r>
          </w:p>
        </w:tc>
        <w:tc>
          <w:tcPr>
            <w:tcW w:type="dxa" w:w="2160"/>
          </w:tcPr>
          <w:p>
            <w:r/>
            <w:r>
              <w:rPr>
                <w:sz w:val="18"/>
                <w:strike/>
              </w:rPr>
              <w:t>Sleep and Health Clinic App Ltd</w:t>
            </w:r>
            <w:r>
              <w:rPr>
                <w:sz w:val="18"/>
              </w:rPr>
              <w:t xml:space="preserve"> SHC Sleep Solutions Limited</w:t>
            </w:r>
            <w:r>
              <w:rPr>
                <w:sz w:val="18"/>
              </w:rPr>
              <w:t xml:space="preserve"> and Partner site (to be confirmed)</w:t>
            </w:r>
          </w:p>
        </w:tc>
        <w:tc>
          <w:tcPr>
            <w:tcW w:type="dxa" w:w="2160"/>
          </w:tcPr>
          <w:p>
            <w:r/>
            <w:r>
              <w:rPr>
                <w:sz w:val="18"/>
              </w:rPr>
              <w:t>Engages the Partner site as a subcontracted site paid by the sponsor; records sponsor ownership of all intellectual property, data and results, publication subject to sponsor review, confidentiality, data protection, indemnity, monitoring and audit access</w:t>
            </w:r>
          </w:p>
        </w:tc>
        <w:tc>
          <w:tcPr>
            <w:tcW w:type="dxa" w:w="2160"/>
          </w:tcPr>
          <w:p>
            <w:r/>
            <w:r>
              <w:rPr>
                <w:sz w:val="18"/>
              </w:rPr>
              <w:t>Not drafted. Not signed. For an NHS organisation, the current HRA model agreement is used unmodified; for a clinical investigation of a device this is the model Clinical Investigation Agreement (version 6.0, August 2026, at the date of this protocol). For a university, a contract-research or services agreement, with terms to be agreed.</w:t>
            </w:r>
          </w:p>
        </w:tc>
      </w:tr>
      <w:tr>
        <w:tc>
          <w:tcPr>
            <w:tcW w:type="dxa" w:w="2160"/>
          </w:tcPr>
          <w:p>
            <w:r/>
            <w:r>
              <w:rPr>
                <w:sz w:val="18"/>
              </w:rPr>
              <w:t>LAZ-AGR-001 Clinical support agreement</w:t>
            </w:r>
          </w:p>
        </w:tc>
        <w:tc>
          <w:tcPr>
            <w:tcW w:type="dxa" w:w="2160"/>
          </w:tcPr>
          <w:p>
            <w:r/>
            <w:r>
              <w:rPr>
                <w:sz w:val="18"/>
                <w:strike/>
              </w:rPr>
              <w:t>Sleep and Health Clinic App Ltd</w:t>
            </w:r>
            <w:r>
              <w:rPr>
                <w:sz w:val="18"/>
              </w:rPr>
              <w:t xml:space="preserve"> SHC Sleep Solutions Limited</w:t>
            </w:r>
            <w:r>
              <w:rPr>
                <w:sz w:val="18"/>
              </w:rPr>
              <w:t xml:space="preserve"> and Sleep and Health Clinic Ltd</w:t>
            </w:r>
          </w:p>
        </w:tc>
        <w:tc>
          <w:tcPr>
            <w:tcW w:type="dxa" w:w="2160"/>
          </w:tcPr>
          <w:p>
            <w:r/>
            <w:r>
              <w:rPr>
                <w:sz w:val="18"/>
              </w:rPr>
              <w:t>Clinical advice only; related-party arrangement</w:t>
            </w:r>
          </w:p>
        </w:tc>
        <w:tc>
          <w:tcPr>
            <w:tcW w:type="dxa" w:w="2160"/>
          </w:tcPr>
          <w:p>
            <w:r/>
            <w:r>
              <w:rPr>
                <w:sz w:val="18"/>
              </w:rPr>
              <w:t>Drafted version 0.1. To be signed. Not in force.</w:t>
            </w:r>
          </w:p>
        </w:tc>
      </w:tr>
      <w:tr>
        <w:tc>
          <w:tcPr>
            <w:tcW w:type="dxa" w:w="2160"/>
          </w:tcPr>
          <w:p>
            <w:r/>
            <w:r>
              <w:rPr>
                <w:sz w:val="18"/>
              </w:rPr>
              <w:t>CSD-M industry licence</w:t>
            </w:r>
          </w:p>
        </w:tc>
        <w:tc>
          <w:tcPr>
            <w:tcW w:type="dxa" w:w="2160"/>
          </w:tcPr>
          <w:p>
            <w:r/>
            <w:r>
              <w:rPr>
                <w:sz w:val="18"/>
                <w:strike/>
              </w:rPr>
              <w:t>Sleep and Health Clinic App Ltd</w:t>
            </w:r>
            <w:r>
              <w:rPr>
                <w:sz w:val="18"/>
              </w:rPr>
              <w:t xml:space="preserve"> SHC Sleep Solutions Limited</w:t>
            </w:r>
            <w:r>
              <w:rPr>
                <w:sz w:val="18"/>
              </w:rPr>
              <w:t xml:space="preserve"> and Dr Colleen Carney (copyright holder)</w:t>
            </w:r>
          </w:p>
        </w:tc>
        <w:tc>
          <w:tcPr>
            <w:tcW w:type="dxa" w:w="2160"/>
          </w:tcPr>
          <w:p>
            <w:r/>
            <w:r>
              <w:rPr>
                <w:sz w:val="18"/>
              </w:rPr>
              <w:t>Use of the comparator instrument</w:t>
            </w:r>
          </w:p>
        </w:tc>
        <w:tc>
          <w:tcPr>
            <w:tcW w:type="dxa" w:w="2160"/>
          </w:tcPr>
          <w:p>
            <w:r/>
            <w:r>
              <w:rPr>
                <w:sz w:val="18"/>
              </w:rPr>
              <w:t>Not on file. To be confirmed.</w:t>
            </w:r>
          </w:p>
        </w:tc>
      </w:tr>
      <w:tr>
        <w:tc>
          <w:tcPr>
            <w:tcW w:type="dxa" w:w="2160"/>
          </w:tcPr>
          <w:p>
            <w:r/>
            <w:r>
              <w:rPr>
                <w:sz w:val="18"/>
              </w:rPr>
              <w:t>Data processing agreements</w:t>
            </w:r>
          </w:p>
        </w:tc>
        <w:tc>
          <w:tcPr>
            <w:tcW w:type="dxa" w:w="2160"/>
          </w:tcPr>
          <w:p>
            <w:r/>
            <w:r>
              <w:rPr>
                <w:sz w:val="18"/>
                <w:strike/>
              </w:rPr>
              <w:t>Sleep and Health Clinic App Ltd</w:t>
            </w:r>
            <w:r>
              <w:rPr>
                <w:sz w:val="18"/>
              </w:rPr>
              <w:t xml:space="preserve"> SHC Sleep Solutions Limited</w:t>
            </w:r>
            <w:r>
              <w:rPr>
                <w:sz w:val="18"/>
              </w:rPr>
              <w:t xml:space="preserve"> and app-hosting and other vendors</w:t>
            </w:r>
          </w:p>
        </w:tc>
        <w:tc>
          <w:tcPr>
            <w:tcW w:type="dxa" w:w="2160"/>
          </w:tcPr>
          <w:p>
            <w:r/>
            <w:r>
              <w:rPr>
                <w:sz w:val="18"/>
              </w:rPr>
              <w:t>Processing of study data</w:t>
            </w:r>
          </w:p>
        </w:tc>
        <w:tc>
          <w:tcPr>
            <w:tcW w:type="dxa" w:w="2160"/>
          </w:tcPr>
          <w:p>
            <w:r/>
            <w:r>
              <w:rPr>
                <w:sz w:val="18"/>
              </w:rPr>
              <w:t>To be listed in the DMP when vendors are contracted.</w:t>
            </w:r>
          </w:p>
        </w:tc>
      </w:tr>
      <w:tr>
        <w:tc>
          <w:tcPr>
            <w:tcW w:type="dxa" w:w="2160"/>
          </w:tcPr>
          <w:p>
            <w:r/>
            <w:r>
              <w:rPr>
                <w:sz w:val="18"/>
              </w:rPr>
              <w:t>Recruitment platform terms</w:t>
            </w:r>
          </w:p>
        </w:tc>
        <w:tc>
          <w:tcPr>
            <w:tcW w:type="dxa" w:w="2160"/>
          </w:tcPr>
          <w:p>
            <w:r/>
            <w:r>
              <w:rPr>
                <w:sz w:val="18"/>
                <w:strike/>
              </w:rPr>
              <w:t>Sleep and Health Clinic App Ltd</w:t>
            </w:r>
            <w:r>
              <w:rPr>
                <w:sz w:val="18"/>
              </w:rPr>
              <w:t xml:space="preserve"> SHC Sleep Solutions Limited</w:t>
            </w:r>
            <w:r>
              <w:rPr>
                <w:sz w:val="18"/>
              </w:rPr>
              <w:t xml:space="preserve"> and Prolific</w:t>
            </w:r>
          </w:p>
        </w:tc>
        <w:tc>
          <w:tcPr>
            <w:tcW w:type="dxa" w:w="2160"/>
          </w:tcPr>
          <w:p>
            <w:r/>
            <w:r>
              <w:rPr>
                <w:sz w:val="18"/>
              </w:rPr>
              <w:t>Default recruitment route, through the sponsor’s own account</w:t>
            </w:r>
          </w:p>
        </w:tc>
        <w:tc>
          <w:tcPr>
            <w:tcW w:type="dxa" w:w="2160"/>
          </w:tcPr>
          <w:p>
            <w:r/>
            <w:r>
              <w:rPr>
                <w:sz w:val="18"/>
              </w:rPr>
              <w:t>To be confirmed. Data-protection terms to be recorded in the DMP and DPIA before recruitment opens.</w:t>
            </w:r>
          </w:p>
        </w:tc>
      </w:tr>
      <w:tr>
        <w:tc>
          <w:tcPr>
            <w:tcW w:type="dxa" w:w="2160"/>
          </w:tcPr>
          <w:p>
            <w:r/>
            <w:r>
              <w:rPr>
                <w:sz w:val="18"/>
              </w:rPr>
              <w:t>Statistician engagement</w:t>
            </w:r>
          </w:p>
        </w:tc>
        <w:tc>
          <w:tcPr>
            <w:tcW w:type="dxa" w:w="2160"/>
          </w:tcPr>
          <w:p>
            <w:r/>
            <w:r>
              <w:rPr>
                <w:sz w:val="18"/>
                <w:strike/>
              </w:rPr>
              <w:t>Sleep and Health Clinic App Ltd</w:t>
            </w:r>
            <w:r>
              <w:rPr>
                <w:sz w:val="18"/>
              </w:rPr>
              <w:t xml:space="preserve"> SHC Sleep Solutions Limited</w:t>
            </w:r>
            <w:r>
              <w:rPr>
                <w:sz w:val="18"/>
              </w:rPr>
              <w:t xml:space="preserve"> and an independent statistician (to be confirmed)</w:t>
            </w:r>
          </w:p>
        </w:tc>
        <w:tc>
          <w:tcPr>
            <w:tcW w:type="dxa" w:w="2160"/>
          </w:tcPr>
          <w:p>
            <w:r/>
            <w:r>
              <w:rPr>
                <w:sz w:val="18"/>
              </w:rPr>
              <w:t>SAP and primary analysis; analysis outputs owned by the sponsor</w:t>
            </w:r>
          </w:p>
        </w:tc>
        <w:tc>
          <w:tcPr>
            <w:tcW w:type="dxa" w:w="2160"/>
          </w:tcPr>
          <w:p>
            <w:r/>
            <w:r>
              <w:rPr>
                <w:sz w:val="18"/>
              </w:rPr>
              <w:t>To be confirmed. Not appointed.</w:t>
            </w:r>
          </w:p>
        </w:tc>
      </w:tr>
      <w:tr>
        <w:tc>
          <w:tcPr>
            <w:tcW w:type="dxa" w:w="2160"/>
          </w:tcPr>
          <w:p>
            <w:r/>
            <w:r>
              <w:rPr>
                <w:sz w:val="18"/>
              </w:rPr>
              <w:t>Clinical study insurance</w:t>
            </w:r>
          </w:p>
        </w:tc>
        <w:tc>
          <w:tcPr>
            <w:tcW w:type="dxa" w:w="2160"/>
          </w:tcPr>
          <w:p>
            <w:r/>
            <w:r>
              <w:rPr>
                <w:sz w:val="18"/>
                <w:strike/>
              </w:rPr>
              <w:t>Sleep and Health Clinic App Ltd</w:t>
            </w:r>
            <w:r>
              <w:rPr>
                <w:sz w:val="18"/>
              </w:rPr>
              <w:t xml:space="preserve"> SHC Sleep Solutions Limited</w:t>
            </w:r>
            <w:r>
              <w:rPr>
                <w:sz w:val="18"/>
              </w:rPr>
              <w:t xml:space="preserve"> and insurer (to be confirmed)</w:t>
            </w:r>
          </w:p>
        </w:tc>
        <w:tc>
          <w:tcPr>
            <w:tcW w:type="dxa" w:w="2160"/>
          </w:tcPr>
          <w:p>
            <w:r/>
            <w:r>
              <w:rPr>
                <w:sz w:val="18"/>
              </w:rPr>
              <w:t>Sponsor legal liability, no-fault compensation for participants and indemnity for the Partner site</w:t>
            </w:r>
          </w:p>
        </w:tc>
        <w:tc>
          <w:tcPr>
            <w:tcW w:type="dxa" w:w="2160"/>
          </w:tcPr>
          <w:p>
            <w:r/>
            <w:r>
              <w:rPr>
                <w:sz w:val="18"/>
              </w:rPr>
              <w:t>Quotation not yet obtained. The quotation must include no-fault compensation.</w:t>
            </w:r>
          </w:p>
        </w:tc>
      </w:tr>
    </w:tbl>
    <w:p/>
    <w:p>
      <w:r>
        <w:t>No site opens, and no participant is enrolled, until the site/services agreement is signed and the documents in Appendices K and O required before enrolment are filed.</w:t>
      </w:r>
    </w:p>
    <w:p>
      <w:pPr>
        <w:pStyle w:val="Heading2"/>
      </w:pPr>
      <w:r>
        <w:t>Related party: Sleep and Health Clinic Ltd</w:t>
      </w:r>
    </w:p>
    <w:p>
      <w:r>
        <w:t xml:space="preserve">Sleep and Health Clinic Ltd (08904119) gives clinical advice to the sponsor only, under LAZ-AGR-001, which is drafted and is to be signed; it is not yet in force. Dr Sara McNeillis and Mr Terence Hook are directors of both </w:t>
      </w:r>
      <w:r>
        <w:rPr>
          <w:strike/>
        </w:rPr>
        <w:t>Sleep and Health Clinic App Ltd</w:t>
      </w:r>
      <w:r>
        <w:rPr/>
        <w:t xml:space="preserve"> SHC Sleep Solutions Limited</w:t>
      </w:r>
      <w:r>
        <w:t xml:space="preserve"> and Sleep and Health Clinic Ltd. This is a related-party arrangement and is disclosed. Sleep and Health Clinic Ltd is not a sponsor, site, funder, data controller or independent endorser of Lazoo. It does not recruit participants, provide patient lists, or hold or receive identifiable study data. Its CQC registration, clinical indemnity and complaints route do not cover this study.</w:t>
      </w:r>
    </w:p>
    <w:p>
      <w:pPr>
        <w:pStyle w:val="Heading1"/>
      </w:pPr>
      <w:r>
        <w:t>18. Insurance and Indemnity</w:t>
      </w:r>
    </w:p>
    <w:p>
      <w:r>
        <w:t>The sponsor will hold clinical study insurance covering its legal liability and will provide no-fault compensation to participants for injury caused by taking part, in line with the ABHI compensation guidelines. The sponsor will indemnify the partner site in line with the applicable model agreement. A certificate of insurance will be filed before submission.</w:t>
      </w:r>
    </w:p>
    <w:p>
      <w:pPr>
        <w:pStyle w:val="ListBullet"/>
      </w:pPr>
      <w:r>
        <w:t>Status: insurer, policy and limits are to be confirmed. A quotation has not yet been obtained, and it must include no-fault compensation. The certificate is not on file. Do not submit or enrol until it is filed.</w:t>
      </w:r>
    </w:p>
    <w:p>
      <w:pPr>
        <w:pStyle w:val="ListBullet"/>
      </w:pPr>
      <w:r>
        <w:t>Partner site: indemnity for the Partner site’s own staff and activities, and the sponsor’s indemnity to the Partner site, are set out in the site/services agreement. For an NHS organisation, the model-agreement indemnity and compensation terms apply unmodified.</w:t>
      </w:r>
    </w:p>
    <w:p>
      <w:pPr>
        <w:pStyle w:val="ListBullet"/>
      </w:pPr>
      <w:r>
        <w:t>Participant information: the participant information sheet will explain the compensation arrangements in plain language.</w:t>
      </w:r>
    </w:p>
    <w:p>
      <w:pPr>
        <w:pStyle w:val="ListBullet"/>
      </w:pPr>
      <w:r>
        <w:t>Clinical advice: the clinical indemnity of Sleep and Health Clinic Ltd does not cover this research.</w:t>
      </w:r>
    </w:p>
    <w:p>
      <w:pPr>
        <w:pStyle w:val="ListBullet"/>
      </w:pPr>
      <w:r>
        <w:t>Investigators: professional indemnity of individual investigators to be confirmed for each named investigator.</w:t>
      </w:r>
    </w:p>
    <w:p>
      <w:pPr>
        <w:pStyle w:val="Heading1"/>
      </w:pPr>
      <w:r>
        <w:t>19. Patient and Public Involvement</w:t>
      </w:r>
    </w:p>
    <w:p>
      <w:r>
        <w:t>No patient and public involvement activity has been completed for LAZ-VAL-001 as at 11 October 2026.</w:t>
      </w:r>
    </w:p>
    <w:p>
      <w:r>
        <w:t>Before any ethics submission, the Chief Investigator should record whether users of the restricted app, or a small group of adults who keep sleep diaries, have commented on burden (two diaries for 14 mornings), the intended-purpose wording and the signposting text. If none is done, the submission should say so. Patient and public contributors are not asked to endorse a clinical claim.</w:t>
      </w:r>
    </w:p>
    <w:p>
      <w:pPr>
        <w:pStyle w:val="Heading1"/>
      </w:pPr>
      <w:r>
        <w:t>20. Quality Assurance and Monitoring</w:t>
      </w:r>
    </w:p>
    <w:p>
      <w:r>
        <w:t>Sponsor oversight is proportionate to risk. A study monitoring plan is to be written from the sponsor template and approved before the Partner site opens. Minimum requirements:</w:t>
      </w:r>
    </w:p>
    <w:p>
      <w:pPr>
        <w:pStyle w:val="ListBullet"/>
      </w:pPr>
      <w:r>
        <w:t>Site selection and initiation: the sponsor confirms the Partner site’s capability, signs the site/services agreement, holds a site initiation visit, and confirms that the Principal Investigator and delegated staff are trained on this protocol and on good clinical practice before any study code is issued.</w:t>
      </w:r>
    </w:p>
    <w:p>
      <w:pPr>
        <w:pStyle w:val="ListBullet"/>
      </w:pPr>
      <w:r>
        <w:t>Investigator site file at the Partner site, opened from the sponsor template, with a site delegation log signed by the Principal Investigator.</w:t>
      </w:r>
    </w:p>
    <w:p>
      <w:pPr>
        <w:pStyle w:val="ListBullet"/>
      </w:pPr>
      <w:r>
        <w:t>Chief Investigator oversight of consent, pairing logs and export receipts.</w:t>
      </w:r>
    </w:p>
    <w:p>
      <w:pPr>
        <w:pStyle w:val="ListBullet"/>
      </w:pPr>
      <w:r>
        <w:t>100% check that each completer has a consent record (toggles 1 and 3, wording version, timestamp or wet-ink equivalent).</w:t>
      </w:r>
    </w:p>
    <w:p>
      <w:pPr>
        <w:pStyle w:val="ListBullet"/>
      </w:pPr>
      <w:r>
        <w:t>Source-to-CRF check of CSD-M constructs for a sample of mornings (100% while n stays at the floor of 30 completers, unless the monitoring plan says otherwise).</w:t>
      </w:r>
    </w:p>
    <w:p>
      <w:pPr>
        <w:pStyle w:val="ListBullet"/>
      </w:pPr>
      <w:r>
        <w:t>Confirmation that Lazoo exports contain raw timestamps and an audit trail for any edited field.</w:t>
      </w:r>
    </w:p>
    <w:p>
      <w:pPr>
        <w:pStyle w:val="ListBullet"/>
      </w:pPr>
      <w:r>
        <w:t>Central monitoring of completeness from the pairing log; on-site or remote monitoring visits to the Partner site as set out in the monitoring plan.</w:t>
      </w:r>
    </w:p>
    <w:p>
      <w:pPr>
        <w:pStyle w:val="ListBullet"/>
      </w:pPr>
      <w:r>
        <w:t>Sponsor right of access to source data, site records and facilities for monitoring and audit, and cooperation with regulatory inspection, to be written into the site/services agreement.</w:t>
      </w:r>
    </w:p>
    <w:p>
      <w:pPr>
        <w:pStyle w:val="ListBullet"/>
      </w:pPr>
      <w:r>
        <w:t>Deviation and serious-breach handling: the Partner site reports deviations to the sponsor; the sponsor assesses and reports serious breaches as required.</w:t>
      </w:r>
    </w:p>
    <w:p>
      <w:pPr>
        <w:pStyle w:val="ListBullet"/>
      </w:pPr>
      <w:r>
        <w:t>No monitoring of diagnostic accuracy.</w:t>
      </w:r>
    </w:p>
    <w:p>
      <w:pPr>
        <w:pStyle w:val="Heading1"/>
      </w:pPr>
      <w:r>
        <w:t>21. Risk Management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Risk</w:t>
            </w:r>
          </w:p>
        </w:tc>
        <w:tc>
          <w:tcPr>
            <w:tcW w:type="dxa" w:w="4320"/>
          </w:tcPr>
          <w:p>
            <w:r>
              <w:rPr>
                <w:b/>
              </w:rPr>
            </w:r>
            <w:r>
              <w:rPr>
                <w:b/>
                <w:sz w:val="18"/>
              </w:rPr>
              <w:t>Mitigation</w:t>
            </w:r>
          </w:p>
        </w:tc>
      </w:tr>
      <w:tr>
        <w:tc>
          <w:tcPr>
            <w:tcW w:type="dxa" w:w="4320"/>
          </w:tcPr>
          <w:p>
            <w:r/>
            <w:r>
              <w:rPr>
                <w:sz w:val="18"/>
              </w:rPr>
              <w:t>Burden of two morning diaries</w:t>
            </w:r>
          </w:p>
        </w:tc>
        <w:tc>
          <w:tcPr>
            <w:tcW w:type="dxa" w:w="4320"/>
          </w:tcPr>
          <w:p>
            <w:r/>
            <w:r>
              <w:rPr>
                <w:sz w:val="18"/>
              </w:rPr>
              <w:t>14 mornings only; training; missed-morning rules; right to withdraw</w:t>
            </w:r>
          </w:p>
        </w:tc>
      </w:tr>
      <w:tr>
        <w:tc>
          <w:tcPr>
            <w:tcW w:type="dxa" w:w="4320"/>
          </w:tcPr>
          <w:p>
            <w:r/>
            <w:r>
              <w:rPr>
                <w:sz w:val="18"/>
              </w:rPr>
              <w:t>Distress when reflecting on sleep</w:t>
            </w:r>
          </w:p>
        </w:tc>
        <w:tc>
          <w:tcPr>
            <w:tcW w:type="dxa" w:w="4320"/>
          </w:tcPr>
          <w:p>
            <w:r/>
            <w:r>
              <w:rPr>
                <w:sz w:val="18"/>
              </w:rPr>
              <w:t>Signpost GP, NHS 111 or Samaritans; investigator may stop dual diaries</w:t>
            </w:r>
          </w:p>
        </w:tc>
      </w:tr>
      <w:tr>
        <w:tc>
          <w:tcPr>
            <w:tcW w:type="dxa" w:w="4320"/>
          </w:tcPr>
          <w:p>
            <w:r/>
            <w:r>
              <w:rPr>
                <w:sz w:val="18"/>
              </w:rPr>
              <w:t>A diagnostic or therapy claim drawn from this study</w:t>
            </w:r>
          </w:p>
        </w:tc>
        <w:tc>
          <w:tcPr>
            <w:tcW w:type="dxa" w:w="4320"/>
          </w:tcPr>
          <w:p>
            <w:r/>
            <w:r>
              <w:rPr>
                <w:sz w:val="18"/>
              </w:rPr>
              <w:t>No such claim; study objectives and publication plan exclude it; sponsor review of outputs for intended-purpose wording</w:t>
            </w:r>
          </w:p>
        </w:tc>
      </w:tr>
      <w:tr>
        <w:tc>
          <w:tcPr>
            <w:tcW w:type="dxa" w:w="4320"/>
          </w:tcPr>
          <w:p>
            <w:r/>
            <w:r>
              <w:rPr>
                <w:sz w:val="18"/>
              </w:rPr>
              <w:t>Comparator copyright breach</w:t>
            </w:r>
          </w:p>
        </w:tc>
        <w:tc>
          <w:tcPr>
            <w:tcW w:type="dxa" w:w="4320"/>
          </w:tcPr>
          <w:p>
            <w:r/>
            <w:r>
              <w:rPr>
                <w:sz w:val="18"/>
              </w:rPr>
              <w:t>No verbatim CSD-M stems or PDF in the trial master file or app until the Carney industry licence is filed</w:t>
            </w:r>
          </w:p>
        </w:tc>
      </w:tr>
      <w:tr>
        <w:tc>
          <w:tcPr>
            <w:tcW w:type="dxa" w:w="4320"/>
          </w:tcPr>
          <w:p>
            <w:r/>
            <w:r>
              <w:rPr>
                <w:sz w:val="18"/>
              </w:rPr>
              <w:t>Wrong sponsor, or merging of another organisation’s study documents</w:t>
            </w:r>
          </w:p>
        </w:tc>
        <w:tc>
          <w:tcPr>
            <w:tcW w:type="dxa" w:w="4320"/>
          </w:tcPr>
          <w:p>
            <w:r/>
            <w:r>
              <w:rPr>
                <w:sz w:val="18"/>
                <w:strike/>
              </w:rPr>
              <w:t>App Ltd</w:t>
            </w:r>
            <w:r>
              <w:rPr>
                <w:sz w:val="18"/>
              </w:rPr>
              <w:t xml:space="preserve"> SHC Sleep Solutions Limited</w:t>
            </w:r>
            <w:r>
              <w:rPr>
                <w:sz w:val="18"/>
              </w:rPr>
              <w:t xml:space="preserve"> (12467350) as sole sponsor; other studies kept in separate files</w:t>
            </w:r>
          </w:p>
        </w:tc>
      </w:tr>
      <w:tr>
        <w:tc>
          <w:tcPr>
            <w:tcW w:type="dxa" w:w="4320"/>
          </w:tcPr>
          <w:p>
            <w:r/>
            <w:r>
              <w:rPr>
                <w:sz w:val="18"/>
              </w:rPr>
              <w:t>Partner site claims intellectual property or data</w:t>
            </w:r>
          </w:p>
        </w:tc>
        <w:tc>
          <w:tcPr>
            <w:tcW w:type="dxa" w:w="4320"/>
          </w:tcPr>
          <w:p>
            <w:r/>
            <w:r>
              <w:rPr>
                <w:sz w:val="18"/>
              </w:rPr>
              <w:t>Site/services agreement records sponsor ownership of all intellectual property, data and results before the site opens</w:t>
            </w:r>
          </w:p>
        </w:tc>
      </w:tr>
      <w:tr>
        <w:tc>
          <w:tcPr>
            <w:tcW w:type="dxa" w:w="4320"/>
          </w:tcPr>
          <w:p>
            <w:r/>
            <w:r>
              <w:rPr>
                <w:sz w:val="18"/>
              </w:rPr>
              <w:t>Partner site opened before contract or approvals</w:t>
            </w:r>
          </w:p>
        </w:tc>
        <w:tc>
          <w:tcPr>
            <w:tcW w:type="dxa" w:w="4320"/>
          </w:tcPr>
          <w:p>
            <w:r/>
            <w:r>
              <w:rPr>
                <w:sz w:val="18"/>
              </w:rPr>
              <w:t>No site code, investigator site file or study access until the agreement is signed and approvals are filed</w:t>
            </w:r>
          </w:p>
        </w:tc>
      </w:tr>
      <w:tr>
        <w:tc>
          <w:tcPr>
            <w:tcW w:type="dxa" w:w="4320"/>
          </w:tcPr>
          <w:p>
            <w:r/>
            <w:r>
              <w:rPr>
                <w:sz w:val="18"/>
              </w:rPr>
              <w:t>Undisclosed related-party interest</w:t>
            </w:r>
          </w:p>
        </w:tc>
        <w:tc>
          <w:tcPr>
            <w:tcW w:type="dxa" w:w="4320"/>
          </w:tcPr>
          <w:p>
            <w:r/>
            <w:r>
              <w:rPr>
                <w:sz w:val="18"/>
              </w:rPr>
              <w:t>Shared directors disclosed in this protocol, the ethics submission and the participant information sheet; LAZ-AGR-001 to be signed</w:t>
            </w:r>
          </w:p>
        </w:tc>
      </w:tr>
      <w:tr>
        <w:tc>
          <w:tcPr>
            <w:tcW w:type="dxa" w:w="4320"/>
          </w:tcPr>
          <w:p>
            <w:r/>
            <w:r>
              <w:rPr>
                <w:sz w:val="18"/>
              </w:rPr>
              <w:t>Recruitment from patient lists</w:t>
            </w:r>
          </w:p>
        </w:tc>
        <w:tc>
          <w:tcPr>
            <w:tcW w:type="dxa" w:w="4320"/>
          </w:tcPr>
          <w:p>
            <w:r/>
            <w:r>
              <w:rPr>
                <w:sz w:val="18"/>
              </w:rPr>
              <w:t>Not permitted from NHS, hospital or Sleep and Health Clinic Ltd lists; exclusion criterion 6</w:t>
            </w:r>
          </w:p>
        </w:tc>
      </w:tr>
      <w:tr>
        <w:tc>
          <w:tcPr>
            <w:tcW w:type="dxa" w:w="4320"/>
          </w:tcPr>
          <w:p>
            <w:r/>
            <w:r>
              <w:rPr>
                <w:sz w:val="18"/>
              </w:rPr>
              <w:t>Study data used for model training</w:t>
            </w:r>
          </w:p>
        </w:tc>
        <w:tc>
          <w:tcPr>
            <w:tcW w:type="dxa" w:w="4320"/>
          </w:tcPr>
          <w:p>
            <w:r/>
            <w:r>
              <w:rPr>
                <w:sz w:val="18"/>
              </w:rPr>
              <w:t>Toggle 4 off</w:t>
            </w:r>
          </w:p>
        </w:tc>
      </w:tr>
      <w:tr>
        <w:tc>
          <w:tcPr>
            <w:tcW w:type="dxa" w:w="4320"/>
          </w:tcPr>
          <w:p>
            <w:r/>
            <w:r>
              <w:rPr>
                <w:sz w:val="18"/>
              </w:rPr>
              <w:t>Identifiable data in open email</w:t>
            </w:r>
          </w:p>
        </w:tc>
        <w:tc>
          <w:tcPr>
            <w:tcW w:type="dxa" w:w="4320"/>
          </w:tcPr>
          <w:p>
            <w:r/>
            <w:r>
              <w:rPr>
                <w:sz w:val="18"/>
              </w:rPr>
              <w:t>Forbidden; DMP storage rules</w:t>
            </w:r>
          </w:p>
        </w:tc>
      </w:tr>
      <w:tr>
        <w:tc>
          <w:tcPr>
            <w:tcW w:type="dxa" w:w="4320"/>
          </w:tcPr>
          <w:p>
            <w:r/>
            <w:r>
              <w:rPr>
                <w:sz w:val="18"/>
              </w:rPr>
              <w:t>Identifiable free text or study data leaving the sponsor</w:t>
            </w:r>
          </w:p>
        </w:tc>
        <w:tc>
          <w:tcPr>
            <w:tcW w:type="dxa" w:w="4320"/>
          </w:tcPr>
          <w:p>
            <w:r/>
            <w:r>
              <w:rPr>
                <w:sz w:val="18"/>
              </w:rPr>
              <w:t>No identifiable free text leaves the sponsor; any outbound share needs a current data note approved before transfer</w:t>
            </w:r>
          </w:p>
        </w:tc>
      </w:tr>
      <w:tr>
        <w:tc>
          <w:tcPr>
            <w:tcW w:type="dxa" w:w="4320"/>
          </w:tcPr>
          <w:p>
            <w:r/>
            <w:r>
              <w:rPr>
                <w:sz w:val="18"/>
              </w:rPr>
              <w:t>Enrolment without insurance (including no-fault compensation) or ethics approval</w:t>
            </w:r>
          </w:p>
        </w:tc>
        <w:tc>
          <w:tcPr>
            <w:tcW w:type="dxa" w:w="4320"/>
          </w:tcPr>
          <w:p>
            <w:r/>
            <w:r>
              <w:rPr>
                <w:sz w:val="18"/>
              </w:rPr>
              <w:t>Hard stop: both to be confirmed</w:t>
            </w:r>
          </w:p>
        </w:tc>
      </w:tr>
      <w:tr>
        <w:tc>
          <w:tcPr>
            <w:tcW w:type="dxa" w:w="4320"/>
          </w:tcPr>
          <w:p>
            <w:r/>
            <w:r>
              <w:rPr>
                <w:sz w:val="18"/>
              </w:rPr>
              <w:t>Unlisted-app credentials reaching a public store</w:t>
            </w:r>
          </w:p>
        </w:tc>
        <w:tc>
          <w:tcPr>
            <w:tcW w:type="dxa" w:w="4320"/>
          </w:tcPr>
          <w:p>
            <w:r/>
            <w:r>
              <w:rPr>
                <w:sz w:val="18"/>
              </w:rPr>
              <w:t>Study codes; Unlisted or closed testing only</w:t>
            </w:r>
          </w:p>
        </w:tc>
      </w:tr>
    </w:tbl>
    <w:p/>
    <w:p>
      <w:r>
        <w:t>This table is not an ISO 14971 risk management file, a design history file, an AI validation report or a clinical evaluation report.</w:t>
      </w:r>
    </w:p>
    <w:p>
      <w:pPr>
        <w:pStyle w:val="Heading1"/>
      </w:pPr>
      <w:r>
        <w:t>22. Information Governance and UK GDPR</w:t>
      </w:r>
    </w:p>
    <w:p>
      <w:r>
        <w:t xml:space="preserve">The sponsor is the controller for all study data. The partner site processes study data only on the sponsor’s documented instructions under an Article 28 agreement. It is a controller only for its own clinical or corporate records. No identifiable free text leaves </w:t>
      </w:r>
      <w:r>
        <w:rPr>
          <w:strike/>
        </w:rPr>
        <w:t>Sleep and Health Clinic App Ltd</w:t>
      </w:r>
      <w:r>
        <w:rPr/>
        <w:t xml:space="preserve"> SHC Sleep Solutions Limited</w:t>
      </w:r>
      <w:r>
        <w:t>. Any transfer of study data from the sponsor to another party requires a current data note approved by the sponsor before transfer.</w:t>
      </w:r>
    </w:p>
    <w:p>
      <w:r>
        <w:t xml:space="preserve">Controller: </w:t>
      </w:r>
      <w:r>
        <w:rPr>
          <w:strike/>
        </w:rPr>
        <w:t>Sleep and Health Clinic App Ltd</w:t>
      </w:r>
      <w:r>
        <w:rPr/>
        <w:t xml:space="preserve"> SHC Sleep Solutions Limited</w:t>
      </w:r>
      <w:r>
        <w:t xml:space="preserve"> (12467350). Other processors (app hosting, recruitment platform, transcription) are listed in the DMP when vendors are contracted. Sleep and Health Clinic Ltd has no data-protection role in this study.</w:t>
      </w:r>
    </w:p>
    <w:p>
      <w:r>
        <w:t>Lawful basis (research), proposed: UK GDPR Article 6(1)(f) legitimate interests, with Article 9(2)(j) and Data Protection Act 2018, Schedule 1, paragraph 4 (research) for special-category health data. This follows Health Research Authority guidance that a commercial sponsor should not rely on consent as the lawful basis for research processing. Consent to take part, including consent toggle 3, remains the ethical and common-law safeguard. Sleep diary content may be special-category health data.</w:t>
      </w:r>
    </w:p>
    <w:p>
      <w:r>
        <w:t>To be confirmed: the data protection officer is to be named and is to confirm the lawful basis. The DPIA, which currently uses consent, and the participant information sheet are to be updated to match. Both remain pending until then. Do not export identifiable research data until the DPIA is signed.</w:t>
      </w:r>
    </w:p>
    <w:p>
      <w:r>
        <w:t>Rights: access, rectification, and withdrawal of toggle 3 (this stops future research use; data already in a locked analysis set may not be withdrawn, and the participant information sheet must say so). Retention as in the DMP (default 10 years after the signed study report).</w:t>
      </w:r>
    </w:p>
    <w:p>
      <w:r>
        <w:t>Transfers: no transfer outside the UK without a documented mechanism. Default storage: UK.</w:t>
      </w:r>
    </w:p>
    <w:p>
      <w:r>
        <w:t>NHS-identifiable patient records are not collected.</w:t>
      </w:r>
    </w:p>
    <w:p>
      <w:pPr>
        <w:pStyle w:val="Heading1"/>
      </w:pPr>
      <w:r>
        <w:t>23. Intellectual Property and Data Ownership</w:t>
      </w:r>
    </w:p>
    <w:p>
      <w:r>
        <w:rPr>
          <w:strike/>
        </w:rPr>
        <w:t>Sleep and Health Clinic App Ltd</w:t>
      </w:r>
      <w:r>
        <w:rPr/>
        <w:t xml:space="preserve"> SHC Sleep Solutions Limited</w:t>
      </w:r>
      <w:r>
        <w:t xml:space="preserve"> owns, and will continue to own, all intellectual property, data rights and results relating to this study. This includes the protocol and study documents; the Lazoo software and any improvements or modifications to it; the study dataset, databases and database rights; analyses, results and reports; and know-how arising from the study.</w:t>
      </w:r>
    </w:p>
    <w:p>
      <w:r>
        <w:t>All results, data and intellectual property arising from this study vest in the sponsor. The Partner site has no claim on the intellectual property, data or results arising from the study. Any intellectual property, data or results generated by the Partner site or its staff in performing the study vest in, or are to be assigned to, the sponsor under the site/services agreement. The Partner site receives no licence to use the Lazoo software, the dataset or the results except as needed to perform the study.</w:t>
      </w:r>
    </w:p>
    <w:p>
      <w:r>
        <w:t>The partner site keeps its pre-existing intellectual property. Where the applicable model agreement requires it, the site also keeps improvements to its own clinical procedures and the right to use general know-how, without disclosing the sponsor’s confidential information. Partner rights are set out in the site agreement. If that agreement conflicts with this section, the agreement prevails.</w:t>
      </w:r>
    </w:p>
    <w:p>
      <w:r>
        <w:t>Sleep and Health Clinic Ltd acquires no intellectual property, data or results through its advisory role.</w:t>
      </w:r>
    </w:p>
    <w:p>
      <w:r>
        <w:t>Confidentiality: the Partner site, its staff and Sleep and Health Clinic Ltd keep confidential all sponsor information, including the protocol, software, data and unpublished results, and use it only for the study. Duration and exceptions are to be confirmed in the agreements.</w:t>
      </w:r>
    </w:p>
    <w:p>
      <w:r>
        <w:t>CSD-M remains the copyright of Dr Colleen Carney and co-authors. A licence is a permission to use, not ownership.</w:t>
      </w:r>
    </w:p>
    <w:p>
      <w:r>
        <w:t>No store listing, clinician material or publication may present a diagnostic or therapy claim based on this study.</w:t>
      </w:r>
    </w:p>
    <w:p>
      <w:pPr>
        <w:pStyle w:val="Heading1"/>
      </w:pPr>
      <w:r>
        <w:t>24. Dissemination and Publication</w:t>
      </w:r>
    </w:p>
    <w:p>
      <w:r>
        <w:t>The study will be registered before the first participant is enrolled. All results will be made public, whatever their direction, within 12 months of the end of the study. A final report with a plain-language summary will be sent to the reviewing ethics committee within 12 months of the end of the study. Participants will be offered a summary of the results. Sponsor review of draft publications is limited to accuracy, confidential information and patent protection, and will not be used to suppress or delay results beyond the agreed period.</w:t>
      </w:r>
    </w:p>
    <w:p>
      <w:r>
        <w:t>The results will include completer rates, Bland–Altman plots for calculated TST, and SUS scores. The paper will not be titled or framed as a diagnostic-accuracy study. British spelling is used.</w:t>
      </w:r>
    </w:p>
    <w:p>
      <w:r>
        <w:t>Publication rights: investigators, including Partner site staff, may publish or present study results subject to prior sponsor review. Each draft manuscript, abstract or presentation is sent to the sponsor before submission. The sponsor will not prevent or unreasonably delay publication of results, whatever they show.</w:t>
      </w:r>
    </w:p>
    <w:p>
      <w:r>
        <w:t>Review and patent-delay periods:</w:t>
      </w:r>
    </w:p>
    <w:p>
      <w:pPr>
        <w:pStyle w:val="ListBullet"/>
      </w:pPr>
      <w:r>
        <w:t>NHS partner site: the current HRA model Clinical Investigation Agreement (version 6.0, August 2026, clause 10) applies unmodified (source copies filed with the sponsor documents; see Appendix O and references 13 and 14). The site submits material to the sponsor for review at least 40 working days before submission for publication, or longer if this protocol specifies. During that review the sponsor may make a reasoned request to delay publication by up to 180 calendar days from first submission to the sponsor, to protect proprietary information or intellectual property.</w:t>
      </w:r>
    </w:p>
    <w:p>
      <w:pPr>
        <w:pStyle w:val="ListBullet"/>
      </w:pPr>
      <w:r>
        <w:t>University partner site: the review period and any patent delay are agreed in the site/services agreement and recorded there.</w:t>
      </w:r>
    </w:p>
    <w:p>
      <w:r>
        <w:t>Additional reporting:</w:t>
      </w:r>
    </w:p>
    <w:p>
      <w:pPr>
        <w:pStyle w:val="ListBullet"/>
      </w:pPr>
      <w:r>
        <w:t>The participant information sheet will say how and when participants are offered the summary of results.</w:t>
      </w:r>
    </w:p>
    <w:p>
      <w:pPr>
        <w:pStyle w:val="ListBullet"/>
      </w:pPr>
      <w:r>
        <w:t>If the determination under Ethics and Regulatory Considerations is that this is a clinical investigation, the end of the investigation is notified to the MHRA and the final report is provided within one year.</w:t>
      </w:r>
    </w:p>
    <w:p>
      <w:pPr>
        <w:pStyle w:val="ListBullet"/>
      </w:pPr>
      <w:r>
        <w:t>If NIHR funds the study, NIHR’s open-access and acknowledgement terms apply in addition to this section.</w:t>
      </w:r>
    </w:p>
    <w:p>
      <w:r>
        <w:t>Authorship follows ICMJE criteria. The Chief Investigator is last or corresponding author as agreed. Related-party interests and sponsor funding are declared in every publication.</w:t>
      </w:r>
    </w:p>
    <w:p>
      <w:r>
        <w:t>Lay summary: this study compared app records with a standard paper morning diary. Results will be shared with participants in plain language within 12 months of the end of the study.</w:t>
      </w:r>
    </w:p>
    <w:p>
      <w:pPr>
        <w:pStyle w:val="Heading1"/>
      </w:pPr>
      <w:r>
        <w:t>25. Study Management, Roles and Delegation</w:t>
      </w:r>
    </w:p>
    <w:p>
      <w:pPr>
        <w:pStyle w:val="Heading2"/>
      </w:pPr>
      <w:r>
        <w:t>Roles and responsibilities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Party or role</w:t>
            </w:r>
          </w:p>
        </w:tc>
        <w:tc>
          <w:tcPr>
            <w:tcW w:type="dxa" w:w="4320"/>
          </w:tcPr>
          <w:p>
            <w:r>
              <w:rPr>
                <w:b/>
              </w:rPr>
            </w:r>
            <w:r>
              <w:rPr>
                <w:b/>
                <w:sz w:val="18"/>
              </w:rPr>
              <w:t>Responsibilities</w:t>
            </w:r>
          </w:p>
        </w:tc>
      </w:tr>
      <w:tr>
        <w:tc>
          <w:tcPr>
            <w:tcW w:type="dxa" w:w="4320"/>
          </w:tcPr>
          <w:p>
            <w:r/>
            <w:r>
              <w:rPr>
                <w:sz w:val="18"/>
              </w:rPr>
              <w:t xml:space="preserve">Sponsor: </w:t>
            </w:r>
            <w:r>
              <w:rPr>
                <w:sz w:val="18"/>
                <w:strike/>
              </w:rPr>
              <w:t>Sleep and Health Clinic App Ltd</w:t>
            </w:r>
            <w:r>
              <w:rPr>
                <w:sz w:val="18"/>
              </w:rPr>
              <w:t xml:space="preserve"> SHC Sleep Solutions Limited</w:t>
            </w:r>
            <w:r>
              <w:rPr>
                <w:sz w:val="18"/>
              </w:rPr>
              <w:t xml:space="preserve"> (12467350), 32 Watford Road, Northwood HA6 3NT</w:t>
            </w:r>
          </w:p>
        </w:tc>
        <w:tc>
          <w:tcPr>
            <w:tcW w:type="dxa" w:w="4320"/>
          </w:tcPr>
          <w:p>
            <w:r/>
            <w:r>
              <w:rPr>
                <w:sz w:val="18"/>
              </w:rPr>
              <w:t>Sponsor duties under the UK Policy Framework; holds and administers funding; contracts and pays the Partner site; owns all intellectual property, data and results; data controller; research insurance; approvals; monitoring and audit; registration; publication review; archiving</w:t>
            </w:r>
          </w:p>
        </w:tc>
      </w:tr>
      <w:tr>
        <w:tc>
          <w:tcPr>
            <w:tcW w:type="dxa" w:w="4320"/>
          </w:tcPr>
          <w:p>
            <w:r/>
            <w:r>
              <w:rPr>
                <w:sz w:val="18"/>
              </w:rPr>
              <w:t>Sponsor research contact</w:t>
            </w:r>
          </w:p>
        </w:tc>
        <w:tc>
          <w:tcPr>
            <w:tcW w:type="dxa" w:w="4320"/>
          </w:tcPr>
          <w:p>
            <w:r/>
            <w:r>
              <w:rPr>
                <w:sz w:val="18"/>
              </w:rPr>
              <w:t>admin@sleepandhealth.org</w:t>
            </w:r>
          </w:p>
        </w:tc>
      </w:tr>
      <w:tr>
        <w:tc>
          <w:tcPr>
            <w:tcW w:type="dxa" w:w="4320"/>
          </w:tcPr>
          <w:p>
            <w:r/>
            <w:r>
              <w:rPr>
                <w:sz w:val="18"/>
              </w:rPr>
              <w:t>Chief Investigator (proposed): Dr Sara McNeillis, GMC 4118686</w:t>
            </w:r>
          </w:p>
        </w:tc>
        <w:tc>
          <w:tcPr>
            <w:tcW w:type="dxa" w:w="4320"/>
          </w:tcPr>
          <w:p>
            <w:r/>
            <w:r>
              <w:rPr>
                <w:sz w:val="18"/>
              </w:rPr>
              <w:t>Overall scientific and clinical conduct; protocol; ethics submission; study-wide delegation log; safety oversight</w:t>
            </w:r>
          </w:p>
        </w:tc>
      </w:tr>
      <w:tr>
        <w:tc>
          <w:tcPr>
            <w:tcW w:type="dxa" w:w="4320"/>
          </w:tcPr>
          <w:p>
            <w:r/>
            <w:r>
              <w:rPr>
                <w:sz w:val="18"/>
              </w:rPr>
              <w:t>Partner site (to be confirmed)</w:t>
            </w:r>
          </w:p>
        </w:tc>
        <w:tc>
          <w:tcPr>
            <w:tcW w:type="dxa" w:w="4320"/>
          </w:tcPr>
          <w:p>
            <w:r/>
            <w:r>
              <w:rPr>
                <w:sz w:val="18"/>
              </w:rPr>
              <w:t>Subcontracted site paid by the sponsor. Services as defined in the site/services agreement (proposed: Principal Investigator oversight, screening, consent, study conduct, source data and CRF completion, investigator site file, cooperation with monitoring and audit). No intellectual property claim. Confidentiality. Publication subject to sponsor review.</w:t>
            </w:r>
          </w:p>
        </w:tc>
      </w:tr>
      <w:tr>
        <w:tc>
          <w:tcPr>
            <w:tcW w:type="dxa" w:w="4320"/>
          </w:tcPr>
          <w:p>
            <w:r/>
            <w:r>
              <w:rPr>
                <w:sz w:val="18"/>
              </w:rPr>
              <w:t>Principal Investigator, Partner site</w:t>
            </w:r>
          </w:p>
        </w:tc>
        <w:tc>
          <w:tcPr>
            <w:tcW w:type="dxa" w:w="4320"/>
          </w:tcPr>
          <w:p>
            <w:r/>
            <w:r>
              <w:rPr>
                <w:sz w:val="18"/>
              </w:rPr>
              <w:t>To be confirmed. Site conduct and site delegation log.</w:t>
            </w:r>
          </w:p>
        </w:tc>
      </w:tr>
      <w:tr>
        <w:tc>
          <w:tcPr>
            <w:tcW w:type="dxa" w:w="4320"/>
          </w:tcPr>
          <w:p>
            <w:r/>
            <w:r>
              <w:rPr>
                <w:sz w:val="18"/>
              </w:rPr>
              <w:t>Sleep and Health Clinic Ltd (08904119)</w:t>
            </w:r>
          </w:p>
        </w:tc>
        <w:tc>
          <w:tcPr>
            <w:tcW w:type="dxa" w:w="4320"/>
          </w:tcPr>
          <w:p>
            <w:r/>
            <w:r>
              <w:rPr>
                <w:sz w:val="18"/>
              </w:rPr>
              <w:t>Clinical advice to the sponsor only, under LAZ-AGR-001 (to be signed). Not sponsor, site, funder or data controller. No recruitment and no patient lists.</w:t>
            </w:r>
          </w:p>
        </w:tc>
      </w:tr>
      <w:tr>
        <w:tc>
          <w:tcPr>
            <w:tcW w:type="dxa" w:w="4320"/>
          </w:tcPr>
          <w:p>
            <w:r/>
            <w:r>
              <w:rPr>
                <w:sz w:val="18"/>
              </w:rPr>
              <w:t>Protocol drafting and clinical master file</w:t>
            </w:r>
          </w:p>
        </w:tc>
        <w:tc>
          <w:tcPr>
            <w:tcW w:type="dxa" w:w="4320"/>
          </w:tcPr>
          <w:p>
            <w:r/>
            <w:r>
              <w:rPr>
                <w:sz w:val="18"/>
              </w:rPr>
              <w:t>Clinical research assistant (LAZ-DEL-001)</w:t>
            </w:r>
          </w:p>
        </w:tc>
      </w:tr>
      <w:tr>
        <w:tc>
          <w:tcPr>
            <w:tcW w:type="dxa" w:w="4320"/>
          </w:tcPr>
          <w:p>
            <w:r/>
            <w:r>
              <w:rPr>
                <w:sz w:val="18"/>
              </w:rPr>
              <w:t>Independent statistician</w:t>
            </w:r>
          </w:p>
        </w:tc>
        <w:tc>
          <w:tcPr>
            <w:tcW w:type="dxa" w:w="4320"/>
          </w:tcPr>
          <w:p>
            <w:r/>
            <w:r>
              <w:rPr>
                <w:sz w:val="18"/>
              </w:rPr>
              <w:t>To be confirmed (not appointed). Not employed by or connected to either company. Signs the SAP before data lock and runs the primary analysis.</w:t>
            </w:r>
          </w:p>
        </w:tc>
      </w:tr>
      <w:tr>
        <w:tc>
          <w:tcPr>
            <w:tcW w:type="dxa" w:w="4320"/>
          </w:tcPr>
          <w:p>
            <w:r/>
            <w:r>
              <w:rPr>
                <w:sz w:val="18"/>
              </w:rPr>
              <w:t>Independent member, study oversight group</w:t>
            </w:r>
          </w:p>
        </w:tc>
        <w:tc>
          <w:tcPr>
            <w:tcW w:type="dxa" w:w="4320"/>
          </w:tcPr>
          <w:p>
            <w:r/>
            <w:r>
              <w:rPr>
                <w:sz w:val="18"/>
              </w:rPr>
              <w:t>To be confirmed (not appointed). Reviews conduct and results before release.</w:t>
            </w:r>
          </w:p>
        </w:tc>
      </w:tr>
      <w:tr>
        <w:tc>
          <w:tcPr>
            <w:tcW w:type="dxa" w:w="4320"/>
          </w:tcPr>
          <w:p>
            <w:r/>
            <w:r>
              <w:rPr>
                <w:sz w:val="18"/>
              </w:rPr>
              <w:t>Named archivist</w:t>
            </w:r>
          </w:p>
        </w:tc>
        <w:tc>
          <w:tcPr>
            <w:tcW w:type="dxa" w:w="4320"/>
          </w:tcPr>
          <w:p>
            <w:r/>
            <w:r>
              <w:rPr>
                <w:sz w:val="18"/>
              </w:rPr>
              <w:t>To be confirmed (Chief Investigator until appointed)</w:t>
            </w:r>
          </w:p>
        </w:tc>
      </w:tr>
      <w:tr>
        <w:tc>
          <w:tcPr>
            <w:tcW w:type="dxa" w:w="4320"/>
          </w:tcPr>
          <w:p>
            <w:r/>
            <w:r>
              <w:rPr>
                <w:sz w:val="18"/>
              </w:rPr>
              <w:t>DPO</w:t>
            </w:r>
          </w:p>
        </w:tc>
        <w:tc>
          <w:tcPr>
            <w:tcW w:type="dxa" w:w="4320"/>
          </w:tcPr>
          <w:p>
            <w:r/>
            <w:r>
              <w:rPr>
                <w:sz w:val="18"/>
              </w:rPr>
              <w:t>To be confirmed (not named)</w:t>
            </w:r>
          </w:p>
        </w:tc>
      </w:tr>
    </w:tbl>
    <w:p/>
    <w:p>
      <w:pPr>
        <w:pStyle w:val="Heading2"/>
      </w:pPr>
      <w:r>
        <w:t>Delegation</w:t>
      </w:r>
    </w:p>
    <w:p>
      <w:pPr>
        <w:pStyle w:val="ListBullet"/>
      </w:pPr>
      <w:r>
        <w:t>Sponsor-level duties are recorded in LAZ-DEL-001. A study-specific delegation log is opened in the LAZ-VAL-001 folder before any identifiable data collection.</w:t>
      </w:r>
    </w:p>
    <w:p>
      <w:pPr>
        <w:pStyle w:val="ListBullet"/>
      </w:pPr>
      <w:r>
        <w:t>Sponsor duties delegated to the Partner site are listed in the site/services agreement. The Partner site Principal Investigator keeps a site delegation log; only trained staff on that log perform study tasks.</w:t>
      </w:r>
    </w:p>
    <w:p>
      <w:pPr>
        <w:pStyle w:val="ListBullet"/>
      </w:pPr>
      <w:r>
        <w:t>No sponsor duty is delegated to Sleep and Health Clinic Ltd.</w:t>
      </w:r>
    </w:p>
    <w:p>
      <w:pPr>
        <w:pStyle w:val="ListBullet"/>
      </w:pPr>
      <w:r>
        <w:t>No one collects, exports or analyses identifiable research data until they are on the relevant delegation log, trained, and this protocol is approved.</w:t>
      </w:r>
    </w:p>
    <w:p>
      <w:pPr>
        <w:pStyle w:val="Heading2"/>
      </w:pPr>
      <w:r>
        <w:t>Conflicts of interest</w:t>
      </w:r>
    </w:p>
    <w:p>
      <w:r>
        <w:t xml:space="preserve">Dr Sara McNeillis and Mr Terence Hook are directors of both </w:t>
      </w:r>
      <w:r>
        <w:rPr>
          <w:strike/>
        </w:rPr>
        <w:t>Sleep and Health Clinic App Ltd</w:t>
      </w:r>
      <w:r>
        <w:rPr/>
        <w:t xml:space="preserve"> SHC Sleep Solutions Limited</w:t>
      </w:r>
      <w:r>
        <w:t xml:space="preserve"> and Sleep and Health Clinic Ltd. This interest is disclosed to the ethics committee, participants and readers. To manage it, the primary analysis is pre-specified and carried out by an independent statistician, and an independent member of the study oversight group reviews the results before release.</w:t>
      </w:r>
    </w:p>
    <w:p>
      <w:r>
        <w:t>The interest is also disclosed in IRAS, on the registry entry and in every publication. Where practical, the sponsor approval signature is given by a person other than the Chief Investigator; if that is not possible, the conflict and its mitigation are recorded. Before LAZ-AGR-001 is signed, a board minute records the related-party interest and the consideration agreed. The independent statistician and the independent oversight member are not yet appointed.</w:t>
      </w:r>
    </w:p>
    <w:p>
      <w:pPr>
        <w:pStyle w:val="Heading2"/>
      </w:pPr>
      <w:r>
        <w:t>Study management group</w:t>
      </w:r>
    </w:p>
    <w:p>
      <w:r>
        <w:t>Chief Investigator, clinical master file manager, Partner site Principal Investigator once appointed, the independent statistician when appointed, and one independent member (study oversight group) when appointed. Meetings are minuted in 06-correspondence.</w:t>
      </w:r>
    </w:p>
    <w:p>
      <w:pPr>
        <w:pStyle w:val="Heading1"/>
      </w:pPr>
      <w:r>
        <w:t>26. Archiving</w:t>
      </w:r>
    </w:p>
    <w:p>
      <w:r>
        <w:t>Essential records are kept for at least 10 years after the signed study report, or longer if an agreement or the ethics committee requires it (SOP-CMF-001). This is not a CTIMP statutory archiving period. There is one product layer and one device file.</w:t>
      </w:r>
    </w:p>
    <w:p>
      <w:r>
        <w:t>The working record is the Lazoo Clinical Master File. A durable copy is kept on sponsor-controlled storage once authorised. Identifiable participant data are not stored in messaging tools.</w:t>
      </w:r>
    </w:p>
    <w:p>
      <w:r>
        <w:t>The Partner site archives its investigator site file for the period set by the site/services agreement, to be confirmed. Access: Chief Investigator, named archivist, clinical master file manager, sponsor auditors, and the ethics committee or regulator on request. Partner site staff see only their investigator site file.</w:t>
      </w:r>
    </w:p>
    <w:p>
      <w:pPr>
        <w:pStyle w:val="Heading1"/>
      </w:pPr>
      <w:r>
        <w:t>27. References</w:t>
      </w:r>
    </w:p>
    <w:p>
      <w:pPr>
        <w:pStyle w:val="ListNumber"/>
      </w:pPr>
      <w:r>
        <w:t>Carney CE, Buysse DJ, Ancoli-Israel S, Edinger JD, Krystal AD, Lichstein KL, Morin CM. The Consensus Sleep Diary: standardizing prospective sleep self-monitoring. Sleep. 2012;35(2):287–302. doi:10.5665/sleep.1642</w:t>
      </w:r>
    </w:p>
    <w:p>
      <w:pPr>
        <w:pStyle w:val="ListNumber"/>
      </w:pPr>
      <w:r>
        <w:t>Maich KHG, Bennion AE, Stewart DW, et al. A comment on the Consensus Sleep Diary. Behav Sleep Med. 2018;16(2):117–134. doi:10.1080/15402002.2016.1173556</w:t>
      </w:r>
    </w:p>
    <w:p>
      <w:pPr>
        <w:pStyle w:val="ListNumber"/>
      </w:pPr>
      <w:r>
        <w:t>Reed DL, Sacco WP. Measuring sleep efficiency: what should the denominator be? J Clin Sleep Med. 2016;12(2):263–266. doi:10.5664/jcsm.5498</w:t>
      </w:r>
    </w:p>
    <w:p>
      <w:pPr>
        <w:pStyle w:val="ListNumber"/>
      </w:pPr>
      <w:r>
        <w:t>Brooke J. SUS: a “quick and dirty” usability scale. In: Jordan PW, Thomas B, Weerdmeester BA, McClelland IL, editors. Usability Evaluation in Industry. London: Taylor &amp; Francis; 1996.</w:t>
      </w:r>
    </w:p>
    <w:p>
      <w:pPr>
        <w:pStyle w:val="ListNumber"/>
      </w:pPr>
      <w:r>
        <w:t>Bland JM, Altman DG. Agreement between methods of measurement with multiple observations per individual. J Biopharm Stat. 2007;17(4):571–582.</w:t>
      </w:r>
    </w:p>
    <w:p>
      <w:pPr>
        <w:pStyle w:val="ListNumber"/>
      </w:pPr>
      <w:r>
        <w:t>ICH E6(R3) Guideline for Good Clinical Practice. Essential records principle, applied as good practice for non-CTIMP research.</w:t>
      </w:r>
    </w:p>
    <w:p>
      <w:pPr>
        <w:pStyle w:val="ListNumber"/>
      </w:pPr>
      <w:r>
        <w:t>UK Policy Framework for Health and Social Care Research. Health Research Authority.</w:t>
      </w:r>
    </w:p>
    <w:p>
      <w:pPr>
        <w:pStyle w:val="ListNumber"/>
      </w:pPr>
      <w:r>
        <w:t>UK GDPR and Data Protection Act 2018.</w:t>
      </w:r>
    </w:p>
    <w:p>
      <w:pPr>
        <w:pStyle w:val="ListNumber"/>
      </w:pPr>
      <w:r>
        <w:t>Medical Devices Regulations 2002 (SI 2002/618), as amended, regulation 16 (procedures for general medical devices for clinical investigations). https://www.legislation.gov.uk/uksi/2002/618/regulation/16 (accessed 11 October 2026).</w:t>
      </w:r>
    </w:p>
    <w:p>
      <w:pPr>
        <w:pStyle w:val="ListNumber"/>
      </w:pPr>
      <w:r>
        <w:t>MHRA. GxP data integrity guidance and definitions (applied as good practice to ePRO-style capture).</w:t>
      </w:r>
    </w:p>
    <w:p>
      <w:pPr>
        <w:pStyle w:val="ListNumber"/>
      </w:pPr>
      <w:r>
        <w:t>ePROVIDE Mapi Research Trust. Consensus Sleep Diary instrument record. https://eprovide.mapi-trust.org/instruments/consensus-sleep-diary</w:t>
      </w:r>
    </w:p>
    <w:p>
      <w:pPr>
        <w:pStyle w:val="ListNumber"/>
      </w:pPr>
      <w:r>
        <w:t>Carney lab. Sleep diary licence information. https://drcolleencarney.com/sleep-diary/</w:t>
      </w:r>
    </w:p>
    <w:p>
      <w:pPr>
        <w:pStyle w:val="ListNumber"/>
      </w:pPr>
      <w:r>
        <w:t>Health Research Authority. Model Clinical Investigation Agreement (mCIA), version 6.0, August 2026, clause 10 (Publications). IRAS Help, templates for supporting documents. https://www.myresearchproject.org.uk/help/hlptemplatesfor.aspx (accessed 11 October 2026). Front page filed in LAZ-VAL-001/sponsor-documents/.</w:t>
      </w:r>
    </w:p>
    <w:p>
      <w:pPr>
        <w:pStyle w:val="ListNumber"/>
      </w:pPr>
      <w:r>
        <w:t>Health Research Authority. Clinical trials regulations: updated suite of UK model agreements now in use (28 April 2026). https://www.hra.nhs.uk/about-us/news-updates/clinical-trials-regulations-updated-suite-of-uk-model-agreements-now-in-use/ (accessed 11 October 2026). Copy filed in LAZ-VAL-001/sponsor-documents/.</w:t>
      </w:r>
    </w:p>
    <w:p>
      <w:pPr>
        <w:pStyle w:val="ListNumber"/>
      </w:pPr>
      <w:r>
        <w:t>Health Research Authority. Consent in research (GDPR guidance). https://www.hra.nhs.uk/planning-and-improving-research/policies-standards-legislation/data-protection-and-information-governance/gdpr-guidance/what-law-says/consent-research/</w:t>
      </w:r>
    </w:p>
    <w:p>
      <w:pPr>
        <w:pStyle w:val="ListNumber"/>
      </w:pPr>
      <w:r>
        <w:t>Health Research Authority. Making research results public; Final report frequently asked questions. https://www.hra.nhs.uk/planning-and-improving-research/policies-standards-legislation/research-transparency/making-results-public/</w:t>
      </w:r>
    </w:p>
    <w:p>
      <w:pPr>
        <w:pStyle w:val="ListNumber"/>
      </w:pPr>
      <w:r>
        <w:t>Association of British HealthTech Industries. Clinical Investigation Compensation Guidelines (1995), as referenced in the model Clinical Investigation Agreement.</w:t>
      </w:r>
    </w:p>
    <w:p>
      <w:r>
        <w:t>Related Lazoo Clinical Master File documents: LAZ-IP-001 intended purpose; LAZ-CL-001 classification memo; LAZ-SPN-001 sponsor; LAZ-AGR-001 clinical support agreement (to be signed); LAZ-DEL-001 delegation log; LAZ-VER-001 version log; LAZ-TPL-DICT data dictionary; LAZ-TPL-CONSENT four toggles; LAZ-VAL-001-MAP construct map.</w:t>
      </w:r>
    </w:p>
    <w:p>
      <w:pPr>
        <w:pStyle w:val="Heading1"/>
      </w:pPr>
      <w:r>
        <w:t>28. Appendices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sz w:val="18"/>
              </w:rPr>
              <w:t>Appendix or related file</w:t>
            </w:r>
          </w:p>
        </w:tc>
        <w:tc>
          <w:tcPr>
            <w:tcW w:type="dxa" w:w="4320"/>
          </w:tcPr>
          <w:p>
            <w:r>
              <w:rPr>
                <w:b/>
              </w:rPr>
            </w:r>
            <w:r>
              <w:rPr>
                <w:b/>
                <w:sz w:val="18"/>
              </w:rPr>
              <w:t>Status at 11 October 2026</w:t>
            </w:r>
          </w:p>
        </w:tc>
      </w:tr>
      <w:tr>
        <w:tc>
          <w:tcPr>
            <w:tcW w:type="dxa" w:w="4320"/>
          </w:tcPr>
          <w:p>
            <w:r/>
            <w:r>
              <w:rPr>
                <w:sz w:val="18"/>
              </w:rPr>
              <w:t>A. Construct map CSD-M to Lazoo (LAZ-VAL-001-MAP)</w:t>
            </w:r>
          </w:p>
        </w:tc>
        <w:tc>
          <w:tcPr>
            <w:tcW w:type="dxa" w:w="4320"/>
          </w:tcPr>
          <w:p>
            <w:r/>
            <w:r>
              <w:rPr>
                <w:sz w:val="18"/>
              </w:rPr>
              <w:t>Filed as 02-csd-m-field-mapping.md; reproduced in Study Assessments</w:t>
            </w:r>
          </w:p>
        </w:tc>
      </w:tr>
      <w:tr>
        <w:tc>
          <w:tcPr>
            <w:tcW w:type="dxa" w:w="4320"/>
          </w:tcPr>
          <w:p>
            <w:r/>
            <w:r>
              <w:rPr>
                <w:sz w:val="18"/>
              </w:rPr>
              <w:t>B. CRF version 0.2</w:t>
            </w:r>
          </w:p>
        </w:tc>
        <w:tc>
          <w:tcPr>
            <w:tcW w:type="dxa" w:w="4320"/>
          </w:tcPr>
          <w:p>
            <w:r/>
            <w:r>
              <w:rPr>
                <w:sz w:val="18"/>
              </w:rPr>
              <w:t>Filed. Site code aligned on 11 October 2026: default volunteer code, or partner site (to be confirmed).</w:t>
            </w:r>
          </w:p>
        </w:tc>
      </w:tr>
      <w:tr>
        <w:tc>
          <w:tcPr>
            <w:tcW w:type="dxa" w:w="4320"/>
          </w:tcPr>
          <w:p>
            <w:r/>
            <w:r>
              <w:rPr>
                <w:sz w:val="18"/>
              </w:rPr>
              <w:t>C. Data management plan version 0.3 (LAZ-VAL-001-DMP-v0.3 (now named lazoo-cmf/app-ltd-shells/01 Clinical research/filled/archive/Lazoo data management plan v0.3 2026-10-11.docx, 30 October 2026), 11 October 2026)</w:t>
            </w:r>
          </w:p>
        </w:tc>
        <w:tc>
          <w:tcPr>
            <w:tcW w:type="dxa" w:w="4320"/>
          </w:tcPr>
          <w:p>
            <w:r/>
            <w:r>
              <w:rPr>
                <w:sz w:val="18"/>
              </w:rPr>
              <w:t>Filed as a draft. Covers the partner site as processor, Prolific as the default recruitment route, the free-text rule, the data-note rule and the recruitment exclusion wording. Version 0.2 superseded.</w:t>
            </w:r>
          </w:p>
        </w:tc>
      </w:tr>
      <w:tr>
        <w:tc>
          <w:tcPr>
            <w:tcW w:type="dxa" w:w="4320"/>
          </w:tcPr>
          <w:p>
            <w:r/>
            <w:r>
              <w:rPr>
                <w:sz w:val="18"/>
              </w:rPr>
              <w:t>D. Participant information sheet and consent (sponsor letterhead, four toggles, conflicts of interest declared, compensation arrangements, results summary)</w:t>
            </w:r>
          </w:p>
        </w:tc>
        <w:tc>
          <w:tcPr>
            <w:tcW w:type="dxa" w:w="4320"/>
          </w:tcPr>
          <w:p>
            <w:r/>
            <w:r>
              <w:rPr>
                <w:sz w:val="18"/>
              </w:rPr>
              <w:t>Pending. To be written from the template once the data protection officer has confirmed the lawful basis</w:t>
            </w:r>
          </w:p>
        </w:tc>
      </w:tr>
      <w:tr>
        <w:tc>
          <w:tcPr>
            <w:tcW w:type="dxa" w:w="4320"/>
          </w:tcPr>
          <w:p>
            <w:r/>
            <w:r>
              <w:rPr>
                <w:sz w:val="18"/>
              </w:rPr>
              <w:t>E. Licensed CSD-M PDF or verbatim stems</w:t>
            </w:r>
          </w:p>
        </w:tc>
        <w:tc>
          <w:tcPr>
            <w:tcW w:type="dxa" w:w="4320"/>
          </w:tcPr>
          <w:p>
            <w:r/>
            <w:r>
              <w:rPr>
                <w:sz w:val="18"/>
              </w:rPr>
              <w:t>Not to be filed until the Carney industry licence is on file</w:t>
            </w:r>
          </w:p>
        </w:tc>
      </w:tr>
      <w:tr>
        <w:tc>
          <w:tcPr>
            <w:tcW w:type="dxa" w:w="4320"/>
          </w:tcPr>
          <w:p>
            <w:r/>
            <w:r>
              <w:rPr>
                <w:sz w:val="18"/>
              </w:rPr>
              <w:t>F. Clinical study insurance certificate, including no-fault compensation</w:t>
            </w:r>
          </w:p>
        </w:tc>
        <w:tc>
          <w:tcPr>
            <w:tcW w:type="dxa" w:w="4320"/>
          </w:tcPr>
          <w:p>
            <w:r/>
            <w:r>
              <w:rPr>
                <w:sz w:val="18"/>
              </w:rPr>
              <w:t>To be confirmed. Quotation not yet obtained</w:t>
            </w:r>
          </w:p>
        </w:tc>
      </w:tr>
      <w:tr>
        <w:tc>
          <w:tcPr>
            <w:tcW w:type="dxa" w:w="4320"/>
          </w:tcPr>
          <w:p>
            <w:r/>
            <w:r>
              <w:rPr>
                <w:sz w:val="18"/>
              </w:rPr>
              <w:t>G. Ethics favourable opinion, IRAS form and HRA Approval (if applicable)</w:t>
            </w:r>
          </w:p>
        </w:tc>
        <w:tc>
          <w:tcPr>
            <w:tcW w:type="dxa" w:w="4320"/>
          </w:tcPr>
          <w:p>
            <w:r/>
            <w:r>
              <w:rPr>
                <w:sz w:val="18"/>
              </w:rPr>
              <w:t>Not submitted</w:t>
            </w:r>
          </w:p>
        </w:tc>
      </w:tr>
      <w:tr>
        <w:tc>
          <w:tcPr>
            <w:tcW w:type="dxa" w:w="4320"/>
          </w:tcPr>
          <w:p>
            <w:r/>
            <w:r>
              <w:rPr>
                <w:sz w:val="18"/>
              </w:rPr>
              <w:t>H. Signed SAP</w:t>
            </w:r>
          </w:p>
        </w:tc>
        <w:tc>
          <w:tcPr>
            <w:tcW w:type="dxa" w:w="4320"/>
          </w:tcPr>
          <w:p>
            <w:r/>
            <w:r>
              <w:rPr>
                <w:sz w:val="18"/>
              </w:rPr>
              <w:t>To be confirmed (statistician not appointed)</w:t>
            </w:r>
          </w:p>
        </w:tc>
      </w:tr>
      <w:tr>
        <w:tc>
          <w:tcPr>
            <w:tcW w:type="dxa" w:w="4320"/>
          </w:tcPr>
          <w:p>
            <w:r/>
            <w:r>
              <w:rPr>
                <w:sz w:val="18"/>
              </w:rPr>
              <w:t>I. DPIA</w:t>
            </w:r>
          </w:p>
        </w:tc>
        <w:tc>
          <w:tcPr>
            <w:tcW w:type="dxa" w:w="4320"/>
          </w:tcPr>
          <w:p>
            <w:r/>
            <w:r>
              <w:rPr>
                <w:sz w:val="18"/>
              </w:rPr>
              <w:t>Pending. Short form only; uses consent and must be updated to the proposed lawful basis once the data protection officer confirms it</w:t>
            </w:r>
          </w:p>
        </w:tc>
      </w:tr>
      <w:tr>
        <w:tc>
          <w:tcPr>
            <w:tcW w:type="dxa" w:w="4320"/>
          </w:tcPr>
          <w:p>
            <w:r/>
            <w:r>
              <w:rPr>
                <w:sz w:val="18"/>
              </w:rPr>
              <w:t>J. App version pin and validation records for the intended purpose</w:t>
            </w:r>
          </w:p>
        </w:tc>
        <w:tc>
          <w:tcPr>
            <w:tcW w:type="dxa" w:w="4320"/>
          </w:tcPr>
          <w:p>
            <w:r/>
            <w:r>
              <w:rPr>
                <w:sz w:val="18"/>
              </w:rPr>
              <w:t>Research-ready pin outstanding</w:t>
            </w:r>
          </w:p>
        </w:tc>
      </w:tr>
      <w:tr>
        <w:tc>
          <w:tcPr>
            <w:tcW w:type="dxa" w:w="4320"/>
          </w:tcPr>
          <w:p>
            <w:r/>
            <w:r>
              <w:rPr>
                <w:sz w:val="18"/>
              </w:rPr>
              <w:t>K. Partner site file: signed site/services agreement, Principal Investigator CV and GCP evidence, site delegation log, site initiation record</w:t>
            </w:r>
          </w:p>
        </w:tc>
        <w:tc>
          <w:tcPr>
            <w:tcW w:type="dxa" w:w="4320"/>
          </w:tcPr>
          <w:p>
            <w:r/>
            <w:r>
              <w:rPr>
                <w:sz w:val="18"/>
              </w:rPr>
              <w:t>Partner site to be confirmed. Agreement not drafted.</w:t>
            </w:r>
          </w:p>
        </w:tc>
      </w:tr>
      <w:tr>
        <w:tc>
          <w:tcPr>
            <w:tcW w:type="dxa" w:w="4320"/>
          </w:tcPr>
          <w:p>
            <w:r/>
            <w:r>
              <w:rPr>
                <w:sz w:val="18"/>
              </w:rPr>
              <w:t>L. LAZ-AGR-001 clinical support agreement</w:t>
            </w:r>
          </w:p>
        </w:tc>
        <w:tc>
          <w:tcPr>
            <w:tcW w:type="dxa" w:w="4320"/>
          </w:tcPr>
          <w:p>
            <w:r/>
            <w:r>
              <w:rPr>
                <w:sz w:val="18"/>
              </w:rPr>
              <w:t>Drafted version 0.1; to be signed</w:t>
            </w:r>
          </w:p>
        </w:tc>
      </w:tr>
      <w:tr>
        <w:tc>
          <w:tcPr>
            <w:tcW w:type="dxa" w:w="4320"/>
          </w:tcPr>
          <w:p>
            <w:r/>
            <w:r>
              <w:rPr>
                <w:sz w:val="18"/>
              </w:rPr>
              <w:t>M. Monitoring plan</w:t>
            </w:r>
          </w:p>
        </w:tc>
        <w:tc>
          <w:tcPr>
            <w:tcW w:type="dxa" w:w="4320"/>
          </w:tcPr>
          <w:p>
            <w:r/>
            <w:r>
              <w:rPr>
                <w:sz w:val="18"/>
              </w:rPr>
              <w:t>To be written from the sponsor template</w:t>
            </w:r>
          </w:p>
        </w:tc>
      </w:tr>
      <w:tr>
        <w:tc>
          <w:tcPr>
            <w:tcW w:type="dxa" w:w="4320"/>
          </w:tcPr>
          <w:p>
            <w:r/>
            <w:r>
              <w:rPr>
                <w:sz w:val="18"/>
              </w:rPr>
              <w:t>N. AI validation report, clinical evaluation report, device technical file</w:t>
            </w:r>
          </w:p>
        </w:tc>
        <w:tc>
          <w:tcPr>
            <w:tcW w:type="dxa" w:w="4320"/>
          </w:tcPr>
          <w:p>
            <w:r/>
            <w:r>
              <w:rPr>
                <w:sz w:val="18"/>
              </w:rPr>
              <w:t>Outside this protocol</w:t>
            </w:r>
          </w:p>
        </w:tc>
      </w:tr>
      <w:tr>
        <w:tc>
          <w:tcPr>
            <w:tcW w:type="dxa" w:w="4320"/>
          </w:tcPr>
          <w:p>
            <w:r/>
            <w:r>
              <w:rPr>
                <w:sz w:val="18"/>
              </w:rPr>
              <w:t>O. Sponsor documents</w:t>
            </w:r>
          </w:p>
        </w:tc>
        <w:tc>
          <w:tcPr>
            <w:tcW w:type="dxa" w:w="4320"/>
          </w:tcPr>
          <w:p>
            <w:r/>
            <w:r>
              <w:rPr>
                <w:sz w:val="18"/>
              </w:rPr>
              <w:t>Listed below</w:t>
            </w:r>
          </w:p>
        </w:tc>
      </w:tr>
    </w:tbl>
    <w:p/>
    <w:p>
      <w:pPr>
        <w:pStyle w:val="Heading2"/>
      </w:pPr>
      <w:r>
        <w:t>Appendix O. Sponsor documents</w:t>
      </w:r>
    </w:p>
    <w:p>
      <w:r>
        <w:t>Status at 11 October 2026. “Signed” means signed and filed; “draft” means a working draft exists; “not started” means no draft exists.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sz w:val="18"/>
              </w:rPr>
              <w:t>Document</w:t>
            </w:r>
          </w:p>
        </w:tc>
        <w:tc>
          <w:tcPr>
            <w:tcW w:type="dxa" w:w="2880"/>
          </w:tcPr>
          <w:p>
            <w:r>
              <w:rPr>
                <w:b/>
              </w:rPr>
            </w:r>
            <w:r>
              <w:rPr>
                <w:b/>
                <w:sz w:val="18"/>
              </w:rPr>
              <w:t>Status</w:t>
            </w:r>
          </w:p>
        </w:tc>
        <w:tc>
          <w:tcPr>
            <w:tcW w:type="dxa" w:w="2880"/>
          </w:tcPr>
          <w:p>
            <w:r>
              <w:rPr>
                <w:b/>
              </w:rPr>
            </w:r>
            <w:r>
              <w:rPr>
                <w:b/>
                <w:sz w:val="18"/>
              </w:rPr>
              <w:t>Owner</w:t>
            </w:r>
          </w:p>
        </w:tc>
      </w:tr>
      <w:tr>
        <w:tc>
          <w:tcPr>
            <w:tcW w:type="dxa" w:w="2880"/>
          </w:tcPr>
          <w:p>
            <w:r/>
            <w:r>
              <w:rPr>
                <w:sz w:val="18"/>
              </w:rPr>
              <w:t>Protocol (this document)</w:t>
            </w:r>
          </w:p>
        </w:tc>
        <w:tc>
          <w:tcPr>
            <w:tcW w:type="dxa" w:w="2880"/>
          </w:tcPr>
          <w:p>
            <w:r/>
            <w:r>
              <w:rPr>
                <w:sz w:val="18"/>
              </w:rPr>
              <w:t>Draft, version 0.4. Not signed</w:t>
            </w:r>
          </w:p>
        </w:tc>
        <w:tc>
          <w:tcPr>
            <w:tcW w:type="dxa" w:w="2880"/>
          </w:tcPr>
          <w:p>
            <w:r/>
            <w:r>
              <w:rPr>
                <w:sz w:val="18"/>
              </w:rPr>
              <w:t>Chief Investigator, with the sponsor’s authorised signatory</w:t>
            </w:r>
          </w:p>
        </w:tc>
      </w:tr>
      <w:tr>
        <w:tc>
          <w:tcPr>
            <w:tcW w:type="dxa" w:w="2880"/>
          </w:tcPr>
          <w:p>
            <w:r/>
            <w:r>
              <w:rPr>
                <w:sz w:val="18"/>
              </w:rPr>
              <w:t>Statistical analysis plan</w:t>
            </w:r>
          </w:p>
        </w:tc>
        <w:tc>
          <w:tcPr>
            <w:tcW w:type="dxa" w:w="2880"/>
          </w:tcPr>
          <w:p>
            <w:r/>
            <w:r>
              <w:rPr>
                <w:sz w:val="18"/>
              </w:rPr>
              <w:t>Not started (outline in Statistical Analysis Plan section)</w:t>
            </w:r>
          </w:p>
        </w:tc>
        <w:tc>
          <w:tcPr>
            <w:tcW w:type="dxa" w:w="2880"/>
          </w:tcPr>
          <w:p>
            <w:r/>
            <w:r>
              <w:rPr>
                <w:sz w:val="18"/>
              </w:rPr>
              <w:t>Independent statistician (to be appointed)</w:t>
            </w:r>
          </w:p>
        </w:tc>
      </w:tr>
      <w:tr>
        <w:tc>
          <w:tcPr>
            <w:tcW w:type="dxa" w:w="2880"/>
          </w:tcPr>
          <w:p>
            <w:r/>
            <w:r>
              <w:rPr>
                <w:sz w:val="18"/>
              </w:rPr>
              <w:t>Sponsor quality system and procedures: consent, safety reporting, deviations and serious breaches, data management, monitoring, archiving</w:t>
            </w:r>
          </w:p>
        </w:tc>
        <w:tc>
          <w:tcPr>
            <w:tcW w:type="dxa" w:w="2880"/>
          </w:tcPr>
          <w:p>
            <w:r/>
            <w:r>
              <w:rPr>
                <w:sz w:val="18"/>
              </w:rPr>
              <w:t>Draft quality manual (version 0.1) and master-file procedure only. Study procedures not started</w:t>
            </w:r>
          </w:p>
        </w:tc>
        <w:tc>
          <w:tcPr>
            <w:tcW w:type="dxa" w:w="2880"/>
          </w:tcPr>
          <w:p>
            <w:r/>
            <w:r>
              <w:rPr>
                <w:sz w:val="18"/>
              </w:rPr>
              <w:t>Sponsor</w:t>
            </w:r>
          </w:p>
        </w:tc>
      </w:tr>
      <w:tr>
        <w:tc>
          <w:tcPr>
            <w:tcW w:type="dxa" w:w="2880"/>
          </w:tcPr>
          <w:p>
            <w:r/>
            <w:r>
              <w:rPr>
                <w:sz w:val="18"/>
              </w:rPr>
              <w:t>Clinical study insurance certificate, including no-fault compensation</w:t>
            </w:r>
          </w:p>
        </w:tc>
        <w:tc>
          <w:tcPr>
            <w:tcW w:type="dxa" w:w="2880"/>
          </w:tcPr>
          <w:p>
            <w:r/>
            <w:r>
              <w:rPr>
                <w:sz w:val="18"/>
              </w:rPr>
              <w:t>Not started. Quotation not obtained</w:t>
            </w:r>
          </w:p>
        </w:tc>
        <w:tc>
          <w:tcPr>
            <w:tcW w:type="dxa" w:w="2880"/>
          </w:tcPr>
          <w:p>
            <w:r/>
            <w:r>
              <w:rPr>
                <w:sz w:val="18"/>
              </w:rPr>
              <w:t>Sponsor</w:t>
            </w:r>
          </w:p>
        </w:tc>
      </w:tr>
      <w:tr>
        <w:tc>
          <w:tcPr>
            <w:tcW w:type="dxa" w:w="2880"/>
          </w:tcPr>
          <w:p>
            <w:r/>
            <w:r>
              <w:rPr>
                <w:sz w:val="18"/>
              </w:rPr>
              <w:t>Monitoring plan</w:t>
            </w:r>
          </w:p>
        </w:tc>
        <w:tc>
          <w:tcPr>
            <w:tcW w:type="dxa" w:w="2880"/>
          </w:tcPr>
          <w:p>
            <w:r/>
            <w:r>
              <w:rPr>
                <w:sz w:val="18"/>
              </w:rPr>
              <w:t>Not started</w:t>
            </w:r>
          </w:p>
        </w:tc>
        <w:tc>
          <w:tcPr>
            <w:tcW w:type="dxa" w:w="2880"/>
          </w:tcPr>
          <w:p>
            <w:r/>
            <w:r>
              <w:rPr>
                <w:sz w:val="18"/>
              </w:rPr>
              <w:t>Sponsor</w:t>
            </w:r>
          </w:p>
        </w:tc>
      </w:tr>
      <w:tr>
        <w:tc>
          <w:tcPr>
            <w:tcW w:type="dxa" w:w="2880"/>
          </w:tcPr>
          <w:p>
            <w:r/>
            <w:r>
              <w:rPr>
                <w:sz w:val="18"/>
              </w:rPr>
              <w:t>Delegation logs</w:t>
            </w:r>
          </w:p>
        </w:tc>
        <w:tc>
          <w:tcPr>
            <w:tcW w:type="dxa" w:w="2880"/>
          </w:tcPr>
          <w:p>
            <w:r/>
            <w:r>
              <w:rPr>
                <w:sz w:val="18"/>
              </w:rPr>
              <w:t>Sponsor-level log draft (version 0.1). Study log not opened</w:t>
            </w:r>
          </w:p>
        </w:tc>
        <w:tc>
          <w:tcPr>
            <w:tcW w:type="dxa" w:w="2880"/>
          </w:tcPr>
          <w:p>
            <w:r/>
            <w:r>
              <w:rPr>
                <w:sz w:val="18"/>
              </w:rPr>
              <w:t>Chief Investigator</w:t>
            </w:r>
          </w:p>
        </w:tc>
      </w:tr>
      <w:tr>
        <w:tc>
          <w:tcPr>
            <w:tcW w:type="dxa" w:w="2880"/>
          </w:tcPr>
          <w:p>
            <w:r/>
            <w:r>
              <w:rPr>
                <w:sz w:val="18"/>
              </w:rPr>
              <w:t>Data protection impact assessment</w:t>
            </w:r>
          </w:p>
        </w:tc>
        <w:tc>
          <w:tcPr>
            <w:tcW w:type="dxa" w:w="2880"/>
          </w:tcPr>
          <w:p>
            <w:r/>
            <w:r>
              <w:rPr>
                <w:sz w:val="18"/>
              </w:rPr>
              <w:t>Draft (short form). Not signed. Lawful basis to be updated</w:t>
            </w:r>
          </w:p>
        </w:tc>
        <w:tc>
          <w:tcPr>
            <w:tcW w:type="dxa" w:w="2880"/>
          </w:tcPr>
          <w:p>
            <w:r/>
            <w:r>
              <w:rPr>
                <w:sz w:val="18"/>
              </w:rPr>
              <w:t>Sponsor, with the data protection officer (to be named)</w:t>
            </w:r>
          </w:p>
        </w:tc>
      </w:tr>
      <w:tr>
        <w:tc>
          <w:tcPr>
            <w:tcW w:type="dxa" w:w="2880"/>
          </w:tcPr>
          <w:p>
            <w:r/>
            <w:r>
              <w:rPr>
                <w:sz w:val="18"/>
              </w:rPr>
              <w:t>Data protection officer name and ICO registration number</w:t>
            </w:r>
          </w:p>
        </w:tc>
        <w:tc>
          <w:tcPr>
            <w:tcW w:type="dxa" w:w="2880"/>
          </w:tcPr>
          <w:p>
            <w:r/>
            <w:r>
              <w:rPr>
                <w:sz w:val="18"/>
              </w:rPr>
              <w:t>Not recorded</w:t>
            </w:r>
          </w:p>
        </w:tc>
        <w:tc>
          <w:tcPr>
            <w:tcW w:type="dxa" w:w="2880"/>
          </w:tcPr>
          <w:p>
            <w:r/>
            <w:r>
              <w:rPr>
                <w:sz w:val="18"/>
              </w:rPr>
              <w:t>Sponsor</w:t>
            </w:r>
          </w:p>
        </w:tc>
      </w:tr>
      <w:tr>
        <w:tc>
          <w:tcPr>
            <w:tcW w:type="dxa" w:w="2880"/>
          </w:tcPr>
          <w:p>
            <w:r/>
            <w:r>
              <w:rPr>
                <w:sz w:val="18"/>
              </w:rPr>
              <w:t>Participant information sheet and consent</w:t>
            </w:r>
          </w:p>
        </w:tc>
        <w:tc>
          <w:tcPr>
            <w:tcW w:type="dxa" w:w="2880"/>
          </w:tcPr>
          <w:p>
            <w:r/>
            <w:r>
              <w:rPr>
                <w:sz w:val="18"/>
              </w:rPr>
              <w:t>Not started. Pending lawful-basis confirmation</w:t>
            </w:r>
          </w:p>
        </w:tc>
        <w:tc>
          <w:tcPr>
            <w:tcW w:type="dxa" w:w="2880"/>
          </w:tcPr>
          <w:p>
            <w:r/>
            <w:r>
              <w:rPr>
                <w:sz w:val="18"/>
              </w:rPr>
              <w:t>Chief Investigator</w:t>
            </w:r>
          </w:p>
        </w:tc>
      </w:tr>
      <w:tr>
        <w:tc>
          <w:tcPr>
            <w:tcW w:type="dxa" w:w="2880"/>
          </w:tcPr>
          <w:p>
            <w:r/>
            <w:r>
              <w:rPr>
                <w:sz w:val="18"/>
              </w:rPr>
              <w:t>Chief Investigator CV and good clinical practice training</w:t>
            </w:r>
          </w:p>
        </w:tc>
        <w:tc>
          <w:tcPr>
            <w:tcW w:type="dxa" w:w="2880"/>
          </w:tcPr>
          <w:p>
            <w:r/>
            <w:r>
              <w:rPr>
                <w:sz w:val="18"/>
              </w:rPr>
              <w:t>Not filed</w:t>
            </w:r>
          </w:p>
        </w:tc>
        <w:tc>
          <w:tcPr>
            <w:tcW w:type="dxa" w:w="2880"/>
          </w:tcPr>
          <w:p>
            <w:r/>
            <w:r>
              <w:rPr>
                <w:sz w:val="18"/>
              </w:rPr>
              <w:t>Chief Investigator</w:t>
            </w:r>
          </w:p>
        </w:tc>
      </w:tr>
      <w:tr>
        <w:tc>
          <w:tcPr>
            <w:tcW w:type="dxa" w:w="2880"/>
          </w:tcPr>
          <w:p>
            <w:r/>
            <w:r>
              <w:rPr>
                <w:sz w:val="18"/>
              </w:rPr>
              <w:t>Public registry entry</w:t>
            </w:r>
          </w:p>
        </w:tc>
        <w:tc>
          <w:tcPr>
            <w:tcW w:type="dxa" w:w="2880"/>
          </w:tcPr>
          <w:p>
            <w:r/>
            <w:r>
              <w:rPr>
                <w:sz w:val="18"/>
              </w:rPr>
              <w:t>Not started</w:t>
            </w:r>
          </w:p>
        </w:tc>
        <w:tc>
          <w:tcPr>
            <w:tcW w:type="dxa" w:w="2880"/>
          </w:tcPr>
          <w:p>
            <w:r/>
            <w:r>
              <w:rPr>
                <w:sz w:val="18"/>
              </w:rPr>
              <w:t>Sponsor</w:t>
            </w:r>
          </w:p>
        </w:tc>
      </w:tr>
      <w:tr>
        <w:tc>
          <w:tcPr>
            <w:tcW w:type="dxa" w:w="2880"/>
          </w:tcPr>
          <w:p>
            <w:r/>
            <w:r>
              <w:rPr>
                <w:sz w:val="18"/>
              </w:rPr>
              <w:t>Trial master file index</w:t>
            </w:r>
          </w:p>
        </w:tc>
        <w:tc>
          <w:tcPr>
            <w:tcW w:type="dxa" w:w="2880"/>
          </w:tcPr>
          <w:p>
            <w:r/>
            <w:r>
              <w:rPr>
                <w:sz w:val="18"/>
              </w:rPr>
              <w:t>Draft (essential documents checklist)</w:t>
            </w:r>
          </w:p>
        </w:tc>
        <w:tc>
          <w:tcPr>
            <w:tcW w:type="dxa" w:w="2880"/>
          </w:tcPr>
          <w:p>
            <w:r/>
            <w:r>
              <w:rPr>
                <w:sz w:val="18"/>
              </w:rPr>
              <w:t>Clinical master file manager</w:t>
            </w:r>
          </w:p>
        </w:tc>
      </w:tr>
      <w:tr>
        <w:tc>
          <w:tcPr>
            <w:tcW w:type="dxa" w:w="2880"/>
          </w:tcPr>
          <w:p>
            <w:r/>
            <w:r>
              <w:rPr>
                <w:sz w:val="18"/>
              </w:rPr>
              <w:t>Clinical-investigation determination and MHRA flowchart outcome</w:t>
            </w:r>
          </w:p>
        </w:tc>
        <w:tc>
          <w:tcPr>
            <w:tcW w:type="dxa" w:w="2880"/>
          </w:tcPr>
          <w:p>
            <w:r/>
            <w:r>
              <w:rPr>
                <w:sz w:val="18"/>
              </w:rPr>
              <w:t>Not started. Depends on the intended-purpose decision</w:t>
            </w:r>
          </w:p>
        </w:tc>
        <w:tc>
          <w:tcPr>
            <w:tcW w:type="dxa" w:w="2880"/>
          </w:tcPr>
          <w:p>
            <w:r/>
            <w:r>
              <w:rPr>
                <w:sz w:val="18"/>
              </w:rPr>
              <w:t>Sponsor, signed by the Chief Investigator</w:t>
            </w:r>
          </w:p>
        </w:tc>
      </w:tr>
      <w:tr>
        <w:tc>
          <w:tcPr>
            <w:tcW w:type="dxa" w:w="2880"/>
          </w:tcPr>
          <w:p>
            <w:r/>
            <w:r>
              <w:rPr>
                <w:sz w:val="18"/>
              </w:rPr>
              <w:t>Investigator’s brochure and technical documentation summary (only if the study is a clinical investigation)</w:t>
            </w:r>
          </w:p>
        </w:tc>
        <w:tc>
          <w:tcPr>
            <w:tcW w:type="dxa" w:w="2880"/>
          </w:tcPr>
          <w:p>
            <w:r/>
            <w:r>
              <w:rPr>
                <w:sz w:val="18"/>
              </w:rPr>
              <w:t>Not started</w:t>
            </w:r>
          </w:p>
        </w:tc>
        <w:tc>
          <w:tcPr>
            <w:tcW w:type="dxa" w:w="2880"/>
          </w:tcPr>
          <w:p>
            <w:r/>
            <w:r>
              <w:rPr>
                <w:sz w:val="18"/>
              </w:rPr>
              <w:t>Sponsor</w:t>
            </w:r>
          </w:p>
        </w:tc>
      </w:tr>
      <w:tr>
        <w:tc>
          <w:tcPr>
            <w:tcW w:type="dxa" w:w="2880"/>
          </w:tcPr>
          <w:p>
            <w:r/>
            <w:r>
              <w:rPr>
                <w:sz w:val="18"/>
              </w:rPr>
              <w:t>Site/services agreement with the Partner site</w:t>
            </w:r>
          </w:p>
        </w:tc>
        <w:tc>
          <w:tcPr>
            <w:tcW w:type="dxa" w:w="2880"/>
          </w:tcPr>
          <w:p>
            <w:r/>
            <w:r>
              <w:rPr>
                <w:sz w:val="18"/>
              </w:rPr>
              <w:t>Not started. Partner site to be confirmed</w:t>
            </w:r>
          </w:p>
        </w:tc>
        <w:tc>
          <w:tcPr>
            <w:tcW w:type="dxa" w:w="2880"/>
          </w:tcPr>
          <w:p>
            <w:r/>
            <w:r>
              <w:rPr>
                <w:sz w:val="18"/>
              </w:rPr>
              <w:t>Sponsor</w:t>
            </w:r>
          </w:p>
        </w:tc>
      </w:tr>
      <w:tr>
        <w:tc>
          <w:tcPr>
            <w:tcW w:type="dxa" w:w="2880"/>
          </w:tcPr>
          <w:p>
            <w:r/>
            <w:r>
              <w:rPr>
                <w:sz w:val="18"/>
              </w:rPr>
              <w:t>Clinical support agreement with Sleep and Health Clinic Ltd</w:t>
            </w:r>
          </w:p>
        </w:tc>
        <w:tc>
          <w:tcPr>
            <w:tcW w:type="dxa" w:w="2880"/>
          </w:tcPr>
          <w:p>
            <w:r/>
            <w:r>
              <w:rPr>
                <w:sz w:val="18"/>
              </w:rPr>
              <w:t>Draft, version 0.1. Not signed</w:t>
            </w:r>
          </w:p>
        </w:tc>
        <w:tc>
          <w:tcPr>
            <w:tcW w:type="dxa" w:w="2880"/>
          </w:tcPr>
          <w:p>
            <w:r/>
            <w:r>
              <w:rPr>
                <w:sz w:val="18"/>
              </w:rPr>
              <w:t>Sponsor</w:t>
            </w:r>
          </w:p>
        </w:tc>
      </w:tr>
      <w:tr>
        <w:tc>
          <w:tcPr>
            <w:tcW w:type="dxa" w:w="2880"/>
          </w:tcPr>
          <w:p>
            <w:r/>
            <w:r>
              <w:rPr>
                <w:sz w:val="18"/>
              </w:rPr>
              <w:t>Board minute recording the related-party interest</w:t>
            </w:r>
          </w:p>
        </w:tc>
        <w:tc>
          <w:tcPr>
            <w:tcW w:type="dxa" w:w="2880"/>
          </w:tcPr>
          <w:p>
            <w:r/>
            <w:r>
              <w:rPr>
                <w:sz w:val="18"/>
              </w:rPr>
              <w:t>Not on file</w:t>
            </w:r>
          </w:p>
        </w:tc>
        <w:tc>
          <w:tcPr>
            <w:tcW w:type="dxa" w:w="2880"/>
          </w:tcPr>
          <w:p>
            <w:r/>
            <w:r>
              <w:rPr>
                <w:sz w:val="18"/>
              </w:rPr>
              <w:t>Sponsor</w:t>
            </w:r>
          </w:p>
        </w:tc>
      </w:tr>
      <w:tr>
        <w:tc>
          <w:tcPr>
            <w:tcW w:type="dxa" w:w="2880"/>
          </w:tcPr>
          <w:p>
            <w:r/>
            <w:r>
              <w:rPr>
                <w:sz w:val="18"/>
              </w:rPr>
              <w:t>CSD-M industry licence</w:t>
            </w:r>
          </w:p>
        </w:tc>
        <w:tc>
          <w:tcPr>
            <w:tcW w:type="dxa" w:w="2880"/>
          </w:tcPr>
          <w:p>
            <w:r/>
            <w:r>
              <w:rPr>
                <w:sz w:val="18"/>
              </w:rPr>
              <w:t>Not on file</w:t>
            </w:r>
          </w:p>
        </w:tc>
        <w:tc>
          <w:tcPr>
            <w:tcW w:type="dxa" w:w="2880"/>
          </w:tcPr>
          <w:p>
            <w:r/>
            <w:r>
              <w:rPr>
                <w:sz w:val="18"/>
              </w:rPr>
              <w:t>Sponsor</w:t>
            </w:r>
          </w:p>
        </w:tc>
      </w:tr>
      <w:tr>
        <w:tc>
          <w:tcPr>
            <w:tcW w:type="dxa" w:w="2880"/>
          </w:tcPr>
          <w:p>
            <w:r/>
            <w:r>
              <w:rPr>
                <w:sz w:val="18"/>
              </w:rPr>
              <w:t>Research-ready app version pin and release note</w:t>
            </w:r>
          </w:p>
        </w:tc>
        <w:tc>
          <w:tcPr>
            <w:tcW w:type="dxa" w:w="2880"/>
          </w:tcPr>
          <w:p>
            <w:r/>
            <w:r>
              <w:rPr>
                <w:sz w:val="18"/>
              </w:rPr>
              <w:t>Not started</w:t>
            </w:r>
          </w:p>
        </w:tc>
        <w:tc>
          <w:tcPr>
            <w:tcW w:type="dxa" w:w="2880"/>
          </w:tcPr>
          <w:p>
            <w:r/>
            <w:r>
              <w:rPr>
                <w:sz w:val="18"/>
              </w:rPr>
              <w:t>Sponsor</w:t>
            </w:r>
          </w:p>
        </w:tc>
      </w:tr>
      <w:tr>
        <w:tc>
          <w:tcPr>
            <w:tcW w:type="dxa" w:w="2880"/>
          </w:tcPr>
          <w:p>
            <w:r/>
            <w:r>
              <w:rPr>
                <w:sz w:val="18"/>
              </w:rPr>
              <w:t>Data management plan</w:t>
            </w:r>
          </w:p>
        </w:tc>
        <w:tc>
          <w:tcPr>
            <w:tcW w:type="dxa" w:w="2880"/>
          </w:tcPr>
          <w:p>
            <w:r/>
            <w:r>
              <w:rPr>
                <w:sz w:val="18"/>
              </w:rPr>
              <w:t>Draft, version 0.3 (11 October 2026)</w:t>
            </w:r>
          </w:p>
        </w:tc>
        <w:tc>
          <w:tcPr>
            <w:tcW w:type="dxa" w:w="2880"/>
          </w:tcPr>
          <w:p>
            <w:r/>
            <w:r>
              <w:rPr>
                <w:sz w:val="18"/>
              </w:rPr>
              <w:t>Sponsor, with the Chief Investigator</w:t>
            </w:r>
          </w:p>
        </w:tc>
      </w:tr>
      <w:tr>
        <w:tc>
          <w:tcPr>
            <w:tcW w:type="dxa" w:w="2880"/>
          </w:tcPr>
          <w:p>
            <w:r/>
            <w:r>
              <w:rPr>
                <w:sz w:val="18"/>
              </w:rPr>
              <w:t>Data note for any outbound share of study data</w:t>
            </w:r>
          </w:p>
        </w:tc>
        <w:tc>
          <w:tcPr>
            <w:tcW w:type="dxa" w:w="2880"/>
          </w:tcPr>
          <w:p>
            <w:r/>
            <w:r>
              <w:rPr>
                <w:sz w:val="18"/>
              </w:rPr>
              <w:t>Not started. Needed before any transfer</w:t>
            </w:r>
          </w:p>
        </w:tc>
        <w:tc>
          <w:tcPr>
            <w:tcW w:type="dxa" w:w="2880"/>
          </w:tcPr>
          <w:p>
            <w:r/>
            <w:r>
              <w:rPr>
                <w:sz w:val="18"/>
              </w:rPr>
              <w:t>Sponsor</w:t>
            </w:r>
          </w:p>
        </w:tc>
      </w:tr>
      <w:tr>
        <w:tc>
          <w:tcPr>
            <w:tcW w:type="dxa" w:w="2880"/>
          </w:tcPr>
          <w:p>
            <w:r/>
            <w:r>
              <w:rPr>
                <w:sz w:val="18"/>
              </w:rPr>
              <w:t>Recruitment platform terms (Prolific)</w:t>
            </w:r>
          </w:p>
        </w:tc>
        <w:tc>
          <w:tcPr>
            <w:tcW w:type="dxa" w:w="2880"/>
          </w:tcPr>
          <w:p>
            <w:r/>
            <w:r>
              <w:rPr>
                <w:sz w:val="18"/>
              </w:rPr>
              <w:t>Not on file</w:t>
            </w:r>
          </w:p>
        </w:tc>
        <w:tc>
          <w:tcPr>
            <w:tcW w:type="dxa" w:w="2880"/>
          </w:tcPr>
          <w:p>
            <w:r/>
            <w:r>
              <w:rPr>
                <w:sz w:val="18"/>
              </w:rPr>
              <w:t>Sponsor</w:t>
            </w:r>
          </w:p>
        </w:tc>
      </w:tr>
      <w:tr>
        <w:tc>
          <w:tcPr>
            <w:tcW w:type="dxa" w:w="2880"/>
          </w:tcPr>
          <w:p>
            <w:r/>
            <w:r>
              <w:rPr>
                <w:sz w:val="18"/>
              </w:rPr>
              <w:t>Reference copy: HRA notice “Clinical trials regulations: updated suite of UK model agreements now in use” (28 April 2026), saved as PDF with URL and access date (11 October 2026)</w:t>
            </w:r>
          </w:p>
        </w:tc>
        <w:tc>
          <w:tcPr>
            <w:tcW w:type="dxa" w:w="2880"/>
          </w:tcPr>
          <w:p>
            <w:r/>
            <w:r>
              <w:rPr>
                <w:sz w:val="18"/>
              </w:rPr>
              <w:t>Filed: sponsor-documents/HRA-notice-updated-model-agreements-2026-04-28-accessed-2026-10-11.pdf</w:t>
            </w:r>
          </w:p>
        </w:tc>
        <w:tc>
          <w:tcPr>
            <w:tcW w:type="dxa" w:w="2880"/>
          </w:tcPr>
          <w:p>
            <w:r/>
            <w:r>
              <w:rPr>
                <w:sz w:val="18"/>
              </w:rPr>
              <w:t>Clinical master file manager</w:t>
            </w:r>
          </w:p>
        </w:tc>
      </w:tr>
      <w:tr>
        <w:tc>
          <w:tcPr>
            <w:tcW w:type="dxa" w:w="2880"/>
          </w:tcPr>
          <w:p>
            <w:r/>
            <w:r>
              <w:rPr>
                <w:sz w:val="18"/>
              </w:rPr>
              <w:t>Reference copy: model Clinical Investigation Agreement, version 6.0 (August 2026), front page, with source URL and access date (11 October 2026)</w:t>
            </w:r>
          </w:p>
        </w:tc>
        <w:tc>
          <w:tcPr>
            <w:tcW w:type="dxa" w:w="2880"/>
          </w:tcPr>
          <w:p>
            <w:r/>
            <w:r>
              <w:rPr>
                <w:sz w:val="18"/>
              </w:rPr>
              <w:t>Filed: sponsor-documents/mCIA-v6.0-August-2026-front-page-accessed-2026-10-11.pdf (sources listed in sponsor-documents/README-sources.md)</w:t>
            </w:r>
          </w:p>
        </w:tc>
        <w:tc>
          <w:tcPr>
            <w:tcW w:type="dxa" w:w="2880"/>
          </w:tcPr>
          <w:p>
            <w:r/>
            <w:r>
              <w:rPr>
                <w:sz w:val="18"/>
              </w:rPr>
              <w:t>Clinical master file manager</w:t>
            </w:r>
          </w:p>
        </w:tc>
      </w:tr>
    </w:tbl>
    <w:p/>
    <w:p>
      <w:r>
        <w:t>End of protocol LAZ-VAL-001 version 0.4 (11 October 2026).</w:t>
      </w:r>
    </w:p>
    <w:sectPr w:rsidR="00FC693F" w:rsidRPr="0006063C" w:rsidSect="00034616">
      <w:headerReference w:type="default" r:id="rId12"/>
      <w:footerReference w:type="default"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header" Target="header2.xml"/><Relationship Id="rId15"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3A8CA6BB9A7E64182D5CCF386F5677E" ma:contentTypeVersion="3" ma:contentTypeDescription="Create a new document." ma:contentTypeScope="" ma:versionID="3131887d823b5b9e3684534ecb5c6449">
  <xsd:schema xmlns:xsd="http://www.w3.org/2001/XMLSchema" xmlns:xs="http://www.w3.org/2001/XMLSchema" xmlns:p="http://schemas.microsoft.com/office/2006/metadata/properties" xmlns:ns2="600bf348-4b2a-4773-8d3a-3e49f791a8e2" targetNamespace="http://schemas.microsoft.com/office/2006/metadata/properties" ma:root="true" ma:fieldsID="1c516ef6a82517d39336b93b0ee29c1a" ns2:_="">
    <xsd:import namespace="600bf348-4b2a-4773-8d3a-3e49f791a8e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0bf348-4b2a-4773-8d3a-3e49f791a8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6B5E9ED-FFA5-42F3-A05A-046865C100C6}"/>
</file>

<file path=customXml/itemProps3.xml><?xml version="1.0" encoding="utf-8"?>
<ds:datastoreItem xmlns:ds="http://schemas.openxmlformats.org/officeDocument/2006/customXml" ds:itemID="{84391E2F-1958-4EFD-BE29-AFD7ED003FE5}"/>
</file>

<file path=customXml/itemProps4.xml><?xml version="1.0" encoding="utf-8"?>
<ds:datastoreItem xmlns:ds="http://schemas.openxmlformats.org/officeDocument/2006/customXml" ds:itemID="{28524798-C973-43CF-88F4-172CBDCE4CE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LAZ-VAL-001 protocol version 0.4</dc:title>
  <dc:subject/>
  <dc:creator>~~Sleep and Health Clinic App Ltd~~ SHC Sleep Solutions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0x01010023A8CA6BB9A7E64182D5CCF386F5677E</vt:lpwstr>
  </property>
</Properties>
</file>