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Concurrent validity and usability of the Lazoo (SHC Digital Sleep Diary) compared with the Consensus Sleep Diary–Morning (CSD-M) in adults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Study Title</w:t>
            </w:r>
          </w:p>
        </w:tc>
        <w:tc>
          <w:tcPr>
            <w:tcW w:type="dxa" w:w="4320"/>
          </w:tcPr>
          <w:p>
            <w:r>
              <w:t>Concurrent validity and usability of the Lazoo (SHC Digital Sleep Diary) compared with the Consensus Sleep Diary–Morning (CSD-M) in adults</w:t>
            </w:r>
          </w:p>
        </w:tc>
      </w:tr>
      <w:tr>
        <w:tc>
          <w:tcPr>
            <w:tcW w:type="dxa" w:w="4320"/>
          </w:tcPr>
          <w:p>
            <w:r>
              <w:t>Protocol Number</w:t>
            </w:r>
          </w:p>
        </w:tc>
        <w:tc>
          <w:tcPr>
            <w:tcW w:type="dxa" w:w="4320"/>
          </w:tcPr>
          <w:p>
            <w:r>
              <w:t>LAZ-VAL-001</w:t>
            </w:r>
          </w:p>
        </w:tc>
      </w:tr>
      <w:tr>
        <w:tc>
          <w:tcPr>
            <w:tcW w:type="dxa" w:w="4320"/>
          </w:tcPr>
          <w:p>
            <w:r>
              <w:t>Version</w:t>
            </w:r>
          </w:p>
        </w:tc>
        <w:tc>
          <w:tcPr>
            <w:tcW w:type="dxa" w:w="4320"/>
          </w:tcPr>
          <w:p>
            <w:r>
              <w:t>0.2</w:t>
            </w:r>
          </w:p>
        </w:tc>
      </w:tr>
      <w:tr>
        <w:tc>
          <w:tcPr>
            <w:tcW w:type="dxa" w:w="4320"/>
          </w:tcPr>
          <w:p>
            <w:r>
              <w:t>Date</w:t>
            </w:r>
          </w:p>
        </w:tc>
        <w:tc>
          <w:tcPr>
            <w:tcW w:type="dxa" w:w="4320"/>
          </w:tcPr>
          <w:p>
            <w:r>
              <w:t>28 August 2026</w:t>
            </w:r>
          </w:p>
        </w:tc>
      </w:tr>
      <w:tr>
        <w:tc>
          <w:tcPr>
            <w:tcW w:type="dxa" w:w="4320"/>
          </w:tcPr>
          <w:p>
            <w:r>
              <w:t>Sponsor</w:t>
            </w:r>
          </w:p>
        </w:tc>
        <w:tc>
          <w:tcPr>
            <w:tcW w:type="dxa" w:w="4320"/>
          </w:tcPr>
          <w:p>
            <w:r>
              <w:rPr>
                <w:strike/>
              </w:rPr>
              <w:t>Sleep and Health Clinic App Ltd</w:t>
            </w:r>
            <w:r>
              <w:rPr/>
              <w:t xml:space="preserve"> SHC Sleep Solutions Limited (company number 12467350; then named Sleep and Health Clinic App Limited, renamed 27 October 2026)</w:t>
            </w:r>
            <w:r>
              <w:t xml:space="preserve"> (12467350). Not Sleep &amp; Health Clinic Ltd (08904119). Not UCLH.</w:t>
            </w:r>
          </w:p>
        </w:tc>
      </w:tr>
      <w:tr>
        <w:tc>
          <w:tcPr>
            <w:tcW w:type="dxa" w:w="4320"/>
          </w:tcPr>
          <w:p>
            <w:r>
              <w:t>Chief Investigator</w:t>
            </w:r>
          </w:p>
        </w:tc>
        <w:tc>
          <w:tcPr>
            <w:tcW w:type="dxa" w:w="4320"/>
          </w:tcPr>
          <w:p>
            <w:r>
              <w:t>Dr Sara McNeillis (GMC 4118686) — proposed; not yet signed</w:t>
            </w:r>
          </w:p>
        </w:tc>
      </w:tr>
      <w:tr>
        <w:tc>
          <w:tcPr>
            <w:tcW w:type="dxa" w:w="4320"/>
          </w:tcPr>
          <w:p>
            <w:r>
              <w:t>Principal Investigator(s)</w:t>
            </w:r>
          </w:p>
        </w:tc>
        <w:tc>
          <w:tcPr>
            <w:tcW w:type="dxa" w:w="4320"/>
          </w:tcPr>
          <w:p>
            <w:r>
              <w:t>None contracted. Site PIs to be named only after a research licence is executed.</w:t>
            </w:r>
          </w:p>
        </w:tc>
      </w:tr>
      <w:tr>
        <w:tc>
          <w:tcPr>
            <w:tcW w:type="dxa" w:w="4320"/>
          </w:tcPr>
          <w:p>
            <w:r>
              <w:t>Study Sites</w:t>
            </w:r>
          </w:p>
        </w:tc>
        <w:tc>
          <w:tcPr>
            <w:tcW w:type="dxa" w:w="4320"/>
          </w:tcPr>
          <w:p>
            <w:r>
              <w:t xml:space="preserve">No NHS trust is a research site in this version. Default: invited adult volunteers, remote completion, </w:t>
            </w:r>
            <w:r>
              <w:rPr>
                <w:strike/>
              </w:rPr>
              <w:t>App Ltd</w:t>
            </w:r>
            <w:r>
              <w:rPr/>
              <w:t xml:space="preserve"> SHC Sleep Solutions Limited</w:t>
            </w:r>
            <w:r>
              <w:t xml:space="preserve"> as sole sponsor. First-wave research-licence conversations (not contracted; not sites): Surrey SSRC (Dijk/Archer); Northumbria NCSR (Ellis); UCL SERL (Dimitriou).</w:t>
            </w:r>
          </w:p>
        </w:tc>
      </w:tr>
      <w:tr>
        <w:tc>
          <w:tcPr>
            <w:tcW w:type="dxa" w:w="4320"/>
          </w:tcPr>
          <w:p>
            <w:r>
              <w:t>Funder</w:t>
            </w:r>
          </w:p>
        </w:tc>
        <w:tc>
          <w:tcPr>
            <w:tcW w:type="dxa" w:w="4320"/>
          </w:tcPr>
          <w:p>
            <w:r>
              <w:rPr>
                <w:strike/>
              </w:rPr>
              <w:t>Sleep and Health Clinic App Ltd</w:t>
            </w:r>
            <w:r>
              <w:rPr/>
              <w:t xml:space="preserve"> SHC Sleep Solutions Limited</w:t>
            </w:r>
            <w:r>
              <w:t xml:space="preserve"> (internally funded). No external grant identified.</w:t>
            </w:r>
          </w:p>
        </w:tc>
      </w:tr>
      <w:tr>
        <w:tc>
          <w:tcPr>
            <w:tcW w:type="dxa" w:w="4320"/>
          </w:tcPr>
          <w:p>
            <w:r>
              <w:t>IRAS/REC</w:t>
            </w:r>
          </w:p>
        </w:tc>
        <w:tc>
          <w:tcPr>
            <w:tcW w:type="dxa" w:w="4320"/>
          </w:tcPr>
          <w:p>
            <w:r>
              <w:t>[GAP] Not submitted. No IRAS ID. No REC name or favourable-opinion date.</w:t>
            </w:r>
          </w:p>
        </w:tc>
      </w:tr>
    </w:tbl>
    <w:p>
      <w:pPr>
        <w:pStyle w:val="Heading1"/>
      </w:pPr>
      <w:r>
        <w:t>Confidentiality Statement</w:t>
      </w:r>
    </w:p>
    <w:p>
      <w:r>
        <w:t xml:space="preserve">This protocol contains confidential and proprietary information belonging to </w:t>
      </w:r>
      <w:r>
        <w:rPr>
          <w:strike/>
        </w:rPr>
        <w:t>Sleep and Health Clinic App Ltd</w:t>
      </w:r>
      <w:r>
        <w:rPr/>
        <w:t xml:space="preserve"> SHC Sleep Solutions Limited</w:t>
      </w:r>
      <w:r>
        <w:t xml:space="preserve"> (company number 12467350). It is not a document of Sleep &amp; Health Clinic Ltd (08904119) and not a UCLH protocol. Do not copy the UCLH-sponsored feasibility PIS into this file. Do not paraphrase the intended-purpose sentence into a diagnostic claim.</w:t>
      </w:r>
    </w:p>
    <w:p>
      <w:pPr>
        <w:pStyle w:val="Heading1"/>
      </w:pPr>
      <w:r>
        <w:t>Protocol Version History</w:t>
      </w:r>
    </w:p>
    <w:p>
      <w:r>
        <w:t>Purpose: Record controlled versions of this protocol.</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Version</w:t>
            </w:r>
          </w:p>
        </w:tc>
        <w:tc>
          <w:tcPr>
            <w:tcW w:type="dxa" w:w="2160"/>
            <w:shd w:fill="1F4E79" w:val="clear"/>
          </w:tcPr>
          <w:p>
            <w:r>
              <w:rPr>
                <w:b/>
                <w:color w:val="FFFFFF"/>
                <w:sz w:val="20"/>
              </w:rPr>
              <w:t>Date</w:t>
            </w:r>
          </w:p>
        </w:tc>
        <w:tc>
          <w:tcPr>
            <w:tcW w:type="dxa" w:w="2160"/>
            <w:shd w:fill="1F4E79" w:val="clear"/>
          </w:tcPr>
          <w:p>
            <w:r>
              <w:rPr>
                <w:b/>
                <w:color w:val="FFFFFF"/>
                <w:sz w:val="20"/>
              </w:rPr>
              <w:t>Author</w:t>
            </w:r>
          </w:p>
        </w:tc>
        <w:tc>
          <w:tcPr>
            <w:tcW w:type="dxa" w:w="2160"/>
            <w:shd w:fill="1F4E79" w:val="clear"/>
          </w:tcPr>
          <w:p>
            <w:r>
              <w:rPr>
                <w:b/>
                <w:color w:val="FFFFFF"/>
                <w:sz w:val="20"/>
              </w:rPr>
              <w:t>Change</w:t>
            </w:r>
          </w:p>
        </w:tc>
      </w:tr>
      <w:tr>
        <w:tc>
          <w:tcPr>
            <w:tcW w:type="dxa" w:w="2160"/>
          </w:tcPr>
          <w:p>
            <w:r>
              <w:rPr>
                <w:sz w:val="18"/>
              </w:rPr>
              <w:t>0.1</w:t>
            </w:r>
          </w:p>
        </w:tc>
        <w:tc>
          <w:tcPr>
            <w:tcW w:type="dxa" w:w="2160"/>
          </w:tcPr>
          <w:p>
            <w:r>
              <w:rPr>
                <w:sz w:val="18"/>
              </w:rPr>
              <w:t>28 August 2026</w:t>
            </w:r>
          </w:p>
        </w:tc>
        <w:tc>
          <w:tcPr>
            <w:tcW w:type="dxa" w:w="2160"/>
          </w:tcPr>
          <w:p>
            <w:r>
              <w:rPr>
                <w:sz w:val="18"/>
              </w:rPr>
              <w:t>Clinical research assistant</w:t>
            </w:r>
          </w:p>
        </w:tc>
        <w:tc>
          <w:tcPr>
            <w:tcW w:type="dxa" w:w="2160"/>
          </w:tcPr>
          <w:p>
            <w:r>
              <w:rPr>
                <w:sz w:val="18"/>
              </w:rPr>
              <w:t>Outline only (separate file 00-protocol-outline.md). Not this document.</w:t>
            </w:r>
          </w:p>
        </w:tc>
      </w:tr>
      <w:tr>
        <w:tc>
          <w:tcPr>
            <w:tcW w:type="dxa" w:w="2160"/>
          </w:tcPr>
          <w:p>
            <w:r>
              <w:rPr>
                <w:sz w:val="18"/>
              </w:rPr>
              <w:t>0.2</w:t>
            </w:r>
          </w:p>
        </w:tc>
        <w:tc>
          <w:tcPr>
            <w:tcW w:type="dxa" w:w="2160"/>
          </w:tcPr>
          <w:p>
            <w:r>
              <w:rPr>
                <w:sz w:val="18"/>
              </w:rPr>
              <w:t>28 August 2026</w:t>
            </w:r>
          </w:p>
        </w:tc>
        <w:tc>
          <w:tcPr>
            <w:tcW w:type="dxa" w:w="2160"/>
          </w:tcPr>
          <w:p>
            <w:r>
              <w:rPr>
                <w:sz w:val="18"/>
              </w:rPr>
              <w:t>Clinical research assistant</w:t>
            </w:r>
          </w:p>
        </w:tc>
        <w:tc>
          <w:tcPr>
            <w:tcW w:type="dxa" w:w="2160"/>
          </w:tcPr>
          <w:p>
            <w:r>
              <w:rPr>
                <w:sz w:val="18"/>
              </w:rPr>
              <w:t xml:space="preserve">First full protocol on the </w:t>
            </w:r>
            <w:r>
              <w:rPr>
                <w:sz w:val="18"/>
                <w:strike/>
              </w:rPr>
              <w:t>App Ltd</w:t>
            </w:r>
            <w:r>
              <w:rPr>
                <w:sz w:val="18"/>
              </w:rPr>
              <w:t xml:space="preserve"> SHC Sleep Solutions Limited</w:t>
            </w:r>
            <w:r>
              <w:rPr>
                <w:sz w:val="18"/>
              </w:rPr>
              <w:t xml:space="preserve"> shell. Intended-purpose lock, calculated-TST primary endpoint, CSD-M mapping by construct, feasibility floor n=30 completers pending SAP, licence conversations listed as conversations not sites. Not for IRAS.</w:t>
            </w:r>
          </w:p>
        </w:tc>
      </w:tr>
    </w:tbl>
    <w:p>
      <w:pPr/>
      <w:r>
        <w:t>Superseded versions remain on file. This v0.2 is a draft until the Chief Investigator and a person authorised to sign for the sponsor countersign the approval table.</w:t>
      </w:r>
    </w:p>
    <w:p>
      <w:pPr>
        <w:pStyle w:val="Heading1"/>
      </w:pPr>
      <w:r>
        <w:t>Document Approvals</w:t>
      </w:r>
    </w:p>
    <w:p>
      <w:r>
        <w:t>Purpose: Record who may authorise this protocol.</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Role</w:t>
            </w:r>
          </w:p>
        </w:tc>
        <w:tc>
          <w:tcPr>
            <w:tcW w:type="dxa" w:w="2160"/>
            <w:shd w:fill="1F4E79" w:val="clear"/>
          </w:tcPr>
          <w:p>
            <w:r>
              <w:rPr>
                <w:b/>
                <w:color w:val="FFFFFF"/>
                <w:sz w:val="20"/>
              </w:rPr>
              <w:t>Name</w:t>
            </w:r>
          </w:p>
        </w:tc>
        <w:tc>
          <w:tcPr>
            <w:tcW w:type="dxa" w:w="2160"/>
            <w:shd w:fill="1F4E79" w:val="clear"/>
          </w:tcPr>
          <w:p>
            <w:r>
              <w:rPr>
                <w:b/>
                <w:color w:val="FFFFFF"/>
                <w:sz w:val="20"/>
              </w:rPr>
              <w:t>Date</w:t>
            </w:r>
          </w:p>
        </w:tc>
        <w:tc>
          <w:tcPr>
            <w:tcW w:type="dxa" w:w="2160"/>
            <w:shd w:fill="1F4E79" w:val="clear"/>
          </w:tcPr>
          <w:p>
            <w:r>
              <w:rPr>
                <w:b/>
                <w:color w:val="FFFFFF"/>
                <w:sz w:val="20"/>
              </w:rPr>
              <w:t>Signature</w:t>
            </w:r>
          </w:p>
        </w:tc>
      </w:tr>
      <w:tr>
        <w:tc>
          <w:tcPr>
            <w:tcW w:type="dxa" w:w="2160"/>
          </w:tcPr>
          <w:p>
            <w:r>
              <w:rPr>
                <w:sz w:val="18"/>
              </w:rPr>
              <w:t>Chief Investigator (proposed)</w:t>
            </w:r>
          </w:p>
        </w:tc>
        <w:tc>
          <w:tcPr>
            <w:tcW w:type="dxa" w:w="2160"/>
          </w:tcPr>
          <w:p>
            <w:r>
              <w:rPr>
                <w:sz w:val="18"/>
              </w:rPr>
              <w:t>Dr Sara McNeillis</w:t>
            </w:r>
          </w:p>
        </w:tc>
        <w:tc>
          <w:tcPr>
            <w:tcW w:type="dxa" w:w="2160"/>
          </w:tcPr>
          <w:p>
            <w:r>
              <w:rPr>
                <w:sz w:val="18"/>
              </w:rPr>
            </w:r>
          </w:p>
        </w:tc>
        <w:tc>
          <w:tcPr>
            <w:tcW w:type="dxa" w:w="2160"/>
          </w:tcPr>
          <w:p>
            <w:r>
              <w:rPr>
                <w:sz w:val="18"/>
              </w:rPr>
            </w:r>
          </w:p>
        </w:tc>
      </w:tr>
      <w:tr>
        <w:tc>
          <w:tcPr>
            <w:tcW w:type="dxa" w:w="2160"/>
          </w:tcPr>
          <w:p>
            <w:r>
              <w:rPr>
                <w:sz w:val="18"/>
              </w:rPr>
              <w:t>On behalf of sponsor (</w:t>
            </w:r>
            <w:r>
              <w:rPr>
                <w:sz w:val="18"/>
                <w:strike/>
              </w:rPr>
              <w:t>Sleep and Health Clinic App Ltd</w:t>
            </w:r>
            <w:r>
              <w:rPr>
                <w:sz w:val="18"/>
              </w:rPr>
              <w:t xml:space="preserve"> SHC Sleep Solutions Limited</w:t>
            </w:r>
            <w:r>
              <w:rPr>
                <w:sz w:val="18"/>
              </w:rPr>
              <w:t>)</w:t>
            </w:r>
          </w:p>
        </w:tc>
        <w:tc>
          <w:tcPr>
            <w:tcW w:type="dxa" w:w="2160"/>
          </w:tcPr>
          <w:p>
            <w:r>
              <w:rPr>
                <w:sz w:val="18"/>
              </w:rPr>
              <w:t>[GAP] Authorised signatory not named</w:t>
            </w:r>
          </w:p>
        </w:tc>
        <w:tc>
          <w:tcPr>
            <w:tcW w:type="dxa" w:w="2160"/>
          </w:tcPr>
          <w:p>
            <w:r>
              <w:rPr>
                <w:sz w:val="18"/>
              </w:rPr>
            </w:r>
          </w:p>
        </w:tc>
        <w:tc>
          <w:tcPr>
            <w:tcW w:type="dxa" w:w="2160"/>
          </w:tcPr>
          <w:p>
            <w:r>
              <w:rPr>
                <w:sz w:val="18"/>
              </w:rPr>
            </w:r>
          </w:p>
        </w:tc>
      </w:tr>
      <w:tr>
        <w:tc>
          <w:tcPr>
            <w:tcW w:type="dxa" w:w="2160"/>
          </w:tcPr>
          <w:p>
            <w:r>
              <w:rPr>
                <w:sz w:val="18"/>
              </w:rPr>
              <w:t>Statistician (SAP)</w:t>
            </w:r>
          </w:p>
        </w:tc>
        <w:tc>
          <w:tcPr>
            <w:tcW w:type="dxa" w:w="2160"/>
          </w:tcPr>
          <w:p>
            <w:r>
              <w:rPr>
                <w:sz w:val="18"/>
              </w:rPr>
              <w:t>[GAP] Not appointed</w:t>
            </w:r>
          </w:p>
        </w:tc>
        <w:tc>
          <w:tcPr>
            <w:tcW w:type="dxa" w:w="2160"/>
          </w:tcPr>
          <w:p>
            <w:r>
              <w:rPr>
                <w:sz w:val="18"/>
              </w:rPr>
            </w:r>
          </w:p>
        </w:tc>
        <w:tc>
          <w:tcPr>
            <w:tcW w:type="dxa" w:w="2160"/>
          </w:tcPr>
          <w:p>
            <w:r>
              <w:rPr>
                <w:sz w:val="18"/>
              </w:rPr>
            </w:r>
          </w:p>
        </w:tc>
      </w:tr>
      <w:tr>
        <w:tc>
          <w:tcPr>
            <w:tcW w:type="dxa" w:w="2160"/>
          </w:tcPr>
          <w:p>
            <w:r>
              <w:rPr>
                <w:sz w:val="18"/>
              </w:rPr>
              <w:t>Data protection / DPO review</w:t>
            </w:r>
          </w:p>
        </w:tc>
        <w:tc>
          <w:tcPr>
            <w:tcW w:type="dxa" w:w="2160"/>
          </w:tcPr>
          <w:p>
            <w:r>
              <w:rPr>
                <w:sz w:val="18"/>
              </w:rPr>
              <w:t>[GAP] DPO not named</w:t>
            </w:r>
          </w:p>
        </w:tc>
        <w:tc>
          <w:tcPr>
            <w:tcW w:type="dxa" w:w="2160"/>
          </w:tcPr>
          <w:p>
            <w:r>
              <w:rPr>
                <w:sz w:val="18"/>
              </w:rPr>
            </w:r>
          </w:p>
        </w:tc>
        <w:tc>
          <w:tcPr>
            <w:tcW w:type="dxa" w:w="2160"/>
          </w:tcPr>
          <w:p>
            <w:r>
              <w:rPr>
                <w:sz w:val="18"/>
              </w:rPr>
            </w:r>
          </w:p>
        </w:tc>
      </w:tr>
    </w:tbl>
    <w:p>
      <w:pPr/>
      <w:r>
        <w:t>No signature on this table has been collected. The protocol is not approved for enrolment.</w:t>
      </w:r>
    </w:p>
    <w:p>
      <w:pPr>
        <w:pStyle w:val="Heading1"/>
      </w:pPr>
      <w:r>
        <w:t>Table of Contents</w:t>
      </w:r>
    </w:p>
    <w:p>
      <w:r>
        <w:t>Purpose: Navigate the controlled sections of this protocol.</w:t>
      </w:r>
    </w:p>
    <w:p>
      <w:r/>
    </w:p>
    <w:p>
      <w:pPr>
        <w:pStyle w:val="ListNumber"/>
      </w:pPr>
      <w:r>
        <w:t>Study Summary</w:t>
      </w:r>
    </w:p>
    <w:p>
      <w:pPr>
        <w:pStyle w:val="ListNumber"/>
      </w:pPr>
      <w:r>
        <w:t>Background and Rationale</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GDPR</w:t>
      </w:r>
    </w:p>
    <w:p>
      <w:pPr>
        <w:pStyle w:val="ListNumber"/>
      </w:pPr>
      <w:r>
        <w:t>Intellectual Property</w:t>
      </w:r>
    </w:p>
    <w:p>
      <w:pPr>
        <w:pStyle w:val="ListNumber"/>
      </w:pPr>
      <w:r>
        <w:t>Dissemination and Publication</w:t>
      </w:r>
    </w:p>
    <w:p>
      <w:pPr>
        <w:pStyle w:val="ListNumber"/>
      </w:pPr>
      <w:r>
        <w:t>Study Management</w:t>
      </w:r>
    </w:p>
    <w:p>
      <w:pPr>
        <w:pStyle w:val="ListNumber"/>
      </w:pPr>
      <w:r>
        <w:t>Archiving</w:t>
      </w:r>
    </w:p>
    <w:p>
      <w:pPr>
        <w:pStyle w:val="ListNumber"/>
      </w:pPr>
      <w:r>
        <w:t>References</w:t>
      </w:r>
    </w:p>
    <w:p>
      <w:pPr>
        <w:pStyle w:val="ListNumber"/>
      </w:pPr>
      <w:r>
        <w:t>Appendices</w:t>
      </w:r>
    </w:p>
    <w:p>
      <w:pPr/>
      <w:r>
        <w:t>Word heading styles are Heading 1 for these sections. Update page numbers on issue of v1.0.</w:t>
      </w:r>
    </w:p>
    <w:p>
      <w:pPr>
        <w:pStyle w:val="Heading1"/>
      </w:pPr>
      <w:r>
        <w:t>Study Summary</w:t>
      </w:r>
    </w:p>
    <w:p>
      <w:r>
        <w:t>Purpose: Give a one-page synopsis that can be copied into IRAS without changing the intended purpose.</w:t>
      </w:r>
    </w:p>
    <w:p>
      <w:r/>
    </w:p>
    <w:p>
      <w:pPr>
        <w:pStyle w:val="IntenseQuote"/>
      </w:pPr>
      <w:r>
        <w:t>The SHC Digital Sleep Diary (Lazoo) is intended to record and display a person's self-reported sleep and lifestyle information for their own review and, if they choose, to share with a clinician. It does not diagnose, predict, treat, or determine the management of any medical condition.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Item</w:t>
            </w:r>
          </w:p>
        </w:tc>
        <w:tc>
          <w:tcPr>
            <w:tcW w:type="dxa" w:w="4320"/>
            <w:shd w:fill="1F4E79" w:val="clear"/>
          </w:tcPr>
          <w:p>
            <w:r>
              <w:rPr>
                <w:b/>
                <w:color w:val="FFFFFF"/>
                <w:sz w:val="20"/>
              </w:rPr>
              <w:t>Record</w:t>
            </w:r>
          </w:p>
        </w:tc>
      </w:tr>
      <w:tr>
        <w:tc>
          <w:tcPr>
            <w:tcW w:type="dxa" w:w="4320"/>
          </w:tcPr>
          <w:p>
            <w:r>
              <w:rPr>
                <w:sz w:val="18"/>
              </w:rPr>
              <w:t>Study ID</w:t>
            </w:r>
          </w:p>
        </w:tc>
        <w:tc>
          <w:tcPr>
            <w:tcW w:type="dxa" w:w="4320"/>
          </w:tcPr>
          <w:p>
            <w:r>
              <w:rPr>
                <w:sz w:val="18"/>
              </w:rPr>
              <w:t>LAZ-VAL-001</w:t>
            </w:r>
          </w:p>
        </w:tc>
      </w:tr>
      <w:tr>
        <w:tc>
          <w:tcPr>
            <w:tcW w:type="dxa" w:w="4320"/>
          </w:tcPr>
          <w:p>
            <w:r>
              <w:rPr>
                <w:sz w:val="18"/>
              </w:rPr>
              <w:t>Short title</w:t>
            </w:r>
          </w:p>
        </w:tc>
        <w:tc>
          <w:tcPr>
            <w:tcW w:type="dxa" w:w="4320"/>
          </w:tcPr>
          <w:p>
            <w:r>
              <w:rPr>
                <w:sz w:val="18"/>
              </w:rPr>
              <w:t>Lazoo vs CSD-M: concurrent validity and usability</w:t>
            </w:r>
          </w:p>
        </w:tc>
      </w:tr>
      <w:tr>
        <w:tc>
          <w:tcPr>
            <w:tcW w:type="dxa" w:w="4320"/>
          </w:tcPr>
          <w:p>
            <w:r>
              <w:rPr>
                <w:sz w:val="18"/>
              </w:rPr>
              <w:t>Sponsor</w:t>
            </w:r>
          </w:p>
        </w:tc>
        <w:tc>
          <w:tcPr>
            <w:tcW w:type="dxa" w:w="4320"/>
          </w:tcPr>
          <w:p>
            <w:r>
              <w:rPr>
                <w:sz w:val="18"/>
                <w:strike/>
              </w:rPr>
              <w:t>Sleep and Health Clinic App Ltd</w:t>
            </w:r>
            <w:r>
              <w:rPr>
                <w:sz w:val="18"/>
              </w:rPr>
              <w:t xml:space="preserve"> SHC Sleep Solutions Limited</w:t>
            </w:r>
            <w:r>
              <w:rPr>
                <w:sz w:val="18"/>
              </w:rPr>
              <w:t>, company number 12467350, registered office 32 Watford Road, Northwood HA6 3NT. Research contact: admin@sleepandhealth.org. Not Sleep &amp; Health Clinic Ltd (08904119; CQC clinic). Not UCLH.</w:t>
            </w:r>
          </w:p>
        </w:tc>
      </w:tr>
      <w:tr>
        <w:tc>
          <w:tcPr>
            <w:tcW w:type="dxa" w:w="4320"/>
          </w:tcPr>
          <w:p>
            <w:r>
              <w:rPr>
                <w:sz w:val="18"/>
              </w:rPr>
              <w:t>Chief Investigator</w:t>
            </w:r>
          </w:p>
        </w:tc>
        <w:tc>
          <w:tcPr>
            <w:tcW w:type="dxa" w:w="4320"/>
          </w:tcPr>
          <w:p>
            <w:r>
              <w:rPr>
                <w:sz w:val="18"/>
              </w:rPr>
              <w:t>Dr Sara McNeillis (GMC 4118686), proposed</w:t>
            </w:r>
          </w:p>
        </w:tc>
      </w:tr>
      <w:tr>
        <w:tc>
          <w:tcPr>
            <w:tcW w:type="dxa" w:w="4320"/>
          </w:tcPr>
          <w:p>
            <w:r>
              <w:rPr>
                <w:sz w:val="18"/>
              </w:rPr>
              <w:t>Design</w:t>
            </w:r>
          </w:p>
        </w:tc>
        <w:tc>
          <w:tcPr>
            <w:tcW w:type="dxa" w:w="4320"/>
          </w:tcPr>
          <w:p>
            <w:r>
              <w:rPr>
                <w:sz w:val="18"/>
              </w:rPr>
              <w:t>Prospective, paired, 14 consecutive mornings. Concurrent validity (measurement agreement) and usability. Non-CTIMP. Not a UK MDR clinical investigation.</w:t>
            </w:r>
          </w:p>
        </w:tc>
      </w:tr>
      <w:tr>
        <w:tc>
          <w:tcPr>
            <w:tcW w:type="dxa" w:w="4320"/>
          </w:tcPr>
          <w:p>
            <w:r>
              <w:rPr>
                <w:sz w:val="18"/>
              </w:rPr>
              <w:t>Product</w:t>
            </w:r>
          </w:p>
        </w:tc>
        <w:tc>
          <w:tcPr>
            <w:tcW w:type="dxa" w:w="4320"/>
          </w:tcPr>
          <w:p>
            <w:r>
              <w:rPr>
                <w:sz w:val="18"/>
              </w:rPr>
              <w:t>Lazoo / SHC Digital Sleep Diary v1, tracking only. Restricted research app: Apple Unlisted App Distribution (not publicly searchable) and Google Play closed testing. In-app study code required. No scores, flags, CBT-I, phenotyping, national registry, or software-as-a-medical-device claims.</w:t>
            </w:r>
          </w:p>
        </w:tc>
      </w:tr>
      <w:tr>
        <w:tc>
          <w:tcPr>
            <w:tcW w:type="dxa" w:w="4320"/>
          </w:tcPr>
          <w:p>
            <w:r>
              <w:rPr>
                <w:sz w:val="18"/>
              </w:rPr>
              <w:t>Comparator</w:t>
            </w:r>
          </w:p>
        </w:tc>
        <w:tc>
          <w:tcPr>
            <w:tcW w:type="dxa" w:w="4320"/>
          </w:tcPr>
          <w:p>
            <w:r>
              <w:rPr>
                <w:sz w:val="18"/>
              </w:rPr>
              <w:t>Consensus Sleep Diary–Morning (CSD-M), Carney et al. Sleep 2012;35:287–302. doi:10.5665/sleep.1642. Industry licence from Dr Colleen Carney is required before verbatim stems are used or the CSD-M PDF is filed in the TMF. This protocol cites the paper and maps constructs; it does not reproduce the form.</w:t>
            </w:r>
          </w:p>
        </w:tc>
      </w:tr>
      <w:tr>
        <w:tc>
          <w:tcPr>
            <w:tcW w:type="dxa" w:w="4320"/>
          </w:tcPr>
          <w:p>
            <w:r>
              <w:rPr>
                <w:sz w:val="18"/>
              </w:rPr>
              <w:t>Setting (default)</w:t>
            </w:r>
          </w:p>
        </w:tc>
        <w:tc>
          <w:tcPr>
            <w:tcW w:type="dxa" w:w="4320"/>
          </w:tcPr>
          <w:p>
            <w:r>
              <w:rPr>
                <w:sz w:val="18"/>
              </w:rPr>
              <w:t xml:space="preserve">Invited adult volunteers completing both diaries remotely under </w:t>
            </w:r>
            <w:r>
              <w:rPr>
                <w:sz w:val="18"/>
                <w:strike/>
              </w:rPr>
              <w:t>App Ltd</w:t>
            </w:r>
            <w:r>
              <w:rPr>
                <w:sz w:val="18"/>
              </w:rPr>
              <w:t xml:space="preserve"> SHC Sleep Solutions Limited</w:t>
            </w:r>
            <w:r>
              <w:rPr>
                <w:sz w:val="18"/>
              </w:rPr>
              <w:t>. No NHS organisation is a research site unless the study register is amended and HRA Approval is obtained.</w:t>
            </w:r>
          </w:p>
        </w:tc>
      </w:tr>
      <w:tr>
        <w:tc>
          <w:tcPr>
            <w:tcW w:type="dxa" w:w="4320"/>
          </w:tcPr>
          <w:p>
            <w:r>
              <w:rPr>
                <w:sz w:val="18"/>
              </w:rPr>
              <w:t>Licence conversations (not sites)</w:t>
            </w:r>
          </w:p>
        </w:tc>
        <w:tc>
          <w:tcPr>
            <w:tcW w:type="dxa" w:w="4320"/>
          </w:tcPr>
          <w:p>
            <w:r>
              <w:rPr>
                <w:sz w:val="18"/>
              </w:rPr>
              <w:t>First-wave research-licence conversations, not contracted and not written as study sites: University of Surrey Sleep Research Centre (SSRC; Dijk/Archer); Northumbria University Northumbria Centre for Sleep Research (NCSR; Ellis); UCL Sleep Education and Research Laboratory (SERL; Dimitriou). A site code and ISF are issued only after a signed research licence.</w:t>
            </w:r>
          </w:p>
        </w:tc>
      </w:tr>
      <w:tr>
        <w:tc>
          <w:tcPr>
            <w:tcW w:type="dxa" w:w="4320"/>
          </w:tcPr>
          <w:p>
            <w:r>
              <w:rPr>
                <w:sz w:val="18"/>
              </w:rPr>
              <w:t>Duration</w:t>
            </w:r>
          </w:p>
        </w:tc>
        <w:tc>
          <w:tcPr>
            <w:tcW w:type="dxa" w:w="4320"/>
          </w:tcPr>
          <w:p>
            <w:r>
              <w:rPr>
                <w:sz w:val="18"/>
              </w:rPr>
              <w:t>Screening and training + 14 diary mornings + day-15 usability close-out.</w:t>
            </w:r>
          </w:p>
        </w:tc>
      </w:tr>
      <w:tr>
        <w:tc>
          <w:tcPr>
            <w:tcW w:type="dxa" w:w="4320"/>
          </w:tcPr>
          <w:p>
            <w:r>
              <w:rPr>
                <w:sz w:val="18"/>
              </w:rPr>
              <w:t>Sample size</w:t>
            </w:r>
          </w:p>
        </w:tc>
        <w:tc>
          <w:tcPr>
            <w:tcW w:type="dxa" w:w="4320"/>
          </w:tcPr>
          <w:p>
            <w:r>
              <w:rPr>
                <w:sz w:val="18"/>
              </w:rPr>
              <w:t>Feasibility floor: 30 completers (a completer has ≥10 of 14 paired mornings evaluable for calculated TST). This is a floor, not the final n. Formal Bland–Altman precision sample size is pending a signed SAP.</w:t>
            </w:r>
          </w:p>
        </w:tc>
      </w:tr>
      <w:tr>
        <w:tc>
          <w:tcPr>
            <w:tcW w:type="dxa" w:w="4320"/>
          </w:tcPr>
          <w:p>
            <w:r>
              <w:rPr>
                <w:sz w:val="18"/>
              </w:rPr>
              <w:t>Primary endpoint</w:t>
            </w:r>
          </w:p>
        </w:tc>
        <w:tc>
          <w:tcPr>
            <w:tcW w:type="dxa" w:w="4320"/>
          </w:tcPr>
          <w:p>
            <w:r>
              <w:rPr>
                <w:sz w:val="18"/>
              </w:rPr>
              <w:t>Night-level agreement of calculated total sleep time (TST) between Lazoo and CSD-M. TST is calculated, not CSD-M item 8 (subjective estimate). Formula: TST = (out_of_bed − sleep_attempt) − SOL − WASO − TWAK. in_bed and sleep_attempt remain separate fields.</w:t>
            </w:r>
          </w:p>
        </w:tc>
      </w:tr>
      <w:tr>
        <w:tc>
          <w:tcPr>
            <w:tcW w:type="dxa" w:w="4320"/>
          </w:tcPr>
          <w:p>
            <w:r>
              <w:rPr>
                <w:sz w:val="18"/>
              </w:rPr>
              <w:t>Registration</w:t>
            </w:r>
          </w:p>
        </w:tc>
        <w:tc>
          <w:tcPr>
            <w:tcW w:type="dxa" w:w="4320"/>
          </w:tcPr>
          <w:p>
            <w:r>
              <w:rPr>
                <w:sz w:val="18"/>
              </w:rPr>
              <w:t>[GAP] If this remains research (it is), register (ISRCTN or OSF) before first participant, per HRA transparency policy. Not yet registered.</w:t>
            </w:r>
          </w:p>
        </w:tc>
      </w:tr>
      <w:tr>
        <w:tc>
          <w:tcPr>
            <w:tcW w:type="dxa" w:w="4320"/>
          </w:tcPr>
          <w:p>
            <w:r>
              <w:rPr>
                <w:sz w:val="18"/>
              </w:rPr>
              <w:t>Insurance</w:t>
            </w:r>
          </w:p>
        </w:tc>
        <w:tc>
          <w:tcPr>
            <w:tcW w:type="dxa" w:w="4320"/>
          </w:tcPr>
          <w:p>
            <w:r>
              <w:rPr>
                <w:sz w:val="18"/>
              </w:rPr>
              <w:t xml:space="preserve">[GAP] Research indemnity certificate for this protocol is not on file. Do not enrol until it is filed. Clinic clinical indemnity of Sleep &amp; Health Clinic Ltd is not research cover for </w:t>
            </w:r>
            <w:r>
              <w:rPr>
                <w:sz w:val="18"/>
                <w:strike/>
              </w:rPr>
              <w:t>App Ltd</w:t>
            </w:r>
            <w:r>
              <w:rPr>
                <w:sz w:val="18"/>
              </w:rPr>
              <w:t xml:space="preserve"> SHC Sleep Solutions Limited</w:t>
            </w:r>
            <w:r>
              <w:rPr>
                <w:sz w:val="18"/>
              </w:rPr>
              <w:t>.</w:t>
            </w:r>
          </w:p>
        </w:tc>
      </w:tr>
    </w:tbl>
    <w:p>
      <w:pPr/>
      <w:r>
        <w:t>v1 may record and display self-reported sleep and lifestyle information and may export a record for a clinician to read. v1 must not identify or diagnose any condition, predict deterioration or treatment response, recommend management, or present a score or flag that a user or clinician is expected to act on without independent clinical judgement.</w:t>
      </w:r>
    </w:p>
    <w:p>
      <w:pPr>
        <w:pStyle w:val="Heading1"/>
      </w:pPr>
      <w:r>
        <w:t>Background and Rationale</w:t>
      </w:r>
    </w:p>
    <w:p>
      <w:r>
        <w:t>Purpose: Explain why a tracking-only digital diary needs a measurement-agreement study against the Consensus Sleep Diary, without turning the product into a diagnostic.</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pPr/>
      <w:r>
        <w:t>Lazoo (SHC Digital Sleep Diary) v1 is a restricted research app. Its intended purpose is locked above. This study tests whether Lazoo records the same night-level sleep quantities as a concurrently completed CSD-M, and whether adults can use the restricted app for that task. It does not test diagnosis, prediction, treatment, care-pathway performance, or any clinician-facing interpretation module.</w:t>
      </w:r>
    </w:p>
    <w:p>
      <w:pPr/>
      <w:r>
        <w:t>Calculated TST is the primary quantity because item 8 of CSD-M is a subjective estimate of time asleep and is not the derived index used for diary TST in the scoring lock for this study (see Endpoints). Reed and Sacco (2016) and Maich et al. (2018) document that TST and sleep efficiency move if time in bed is taken from lights-out versus from the later “tried to sleep” clock. LAZ-VAL-001 therefore keeps in_bed (CSD-M item 1 construct) and sleep_attempt (item 2 construct) as separate fields and uses the formula in Endpoints unless the Chief Investigator signs a documented Maich variant in the SAP.</w:t>
      </w:r>
    </w:p>
    <w:p>
      <w:pPr/>
      <w:r>
        <w:t>This protocol is not a UK MDR clinical investigation: the object of research is diary performance as a tracking / ePRO-style log, not a device with a medical purpose (classification memo LAZ-CL-001). It is not a CTIMP. A later clinician-interpretation or AI module would be a different product and is out of scope (held in the layer-2 / SaMD folder; AI Validation Report and Clinical Evaluation Report are not written for v1).</w:t>
      </w:r>
    </w:p>
    <w:p>
      <w:pPr/>
      <w:r>
        <w:t>A UCLH-sponsored feasibility with a different sponsor, a different n, and a PIS that is not to be used here, is out of scope. Do not copy UCLH letterhead, PALS wording, or that PIS into this file.</w:t>
      </w:r>
    </w:p>
    <w:p>
      <w:pPr>
        <w:pStyle w:val="Heading1"/>
      </w:pPr>
      <w:r>
        <w:t>Study Objectives</w:t>
      </w:r>
    </w:p>
    <w:p>
      <w:r>
        <w:t>Purpose: State what will be estimated, without diagnostic claims.</w:t>
      </w:r>
    </w:p>
    <w:p>
      <w:r/>
    </w:p>
    <w:p>
      <w:pPr>
        <w:pStyle w:val="Heading2"/>
      </w:pPr>
      <w:r>
        <w:t>Primary objective</w:t>
      </w:r>
    </w:p>
    <w:p>
      <w:pPr/>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 what /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 tst_subjective). Item 8 is not the primary endpoint.</w:t>
      </w:r>
    </w:p>
    <w:p>
      <w:pPr>
        <w:pStyle w:val="ListBullet"/>
      </w:pPr>
      <w:r>
        <w:t>To describe nap/doze reporting and lifestyle text (caffeine, alcohol, sleep medication as user-entered text) as covariates only.</w:t>
      </w:r>
    </w:p>
    <w:p>
      <w:pPr>
        <w:pStyle w:val="Heading2"/>
      </w:pPr>
      <w:r>
        <w:t>What this study will not do</w:t>
      </w:r>
    </w:p>
    <w:p>
      <w:pPr>
        <w:pStyle w:val="ListBullet"/>
      </w:pPr>
      <w:r>
        <w:t>Diagnose, predict, phenotype, or determine management of any medical condition.</w:t>
      </w:r>
    </w:p>
    <w:p>
      <w:pPr>
        <w:pStyle w:val="ListBullet"/>
      </w:pPr>
      <w:r>
        <w:t>Test CBT-I, treatment responsiveness, or care pathways.</w:t>
      </w:r>
    </w:p>
    <w:p>
      <w:pPr>
        <w:pStyle w:val="ListBullet"/>
      </w:pPr>
      <w:r>
        <w:t>Create a national registry.</w:t>
      </w:r>
    </w:p>
    <w:p>
      <w:pPr>
        <w:pStyle w:val="ListBullet"/>
      </w:pPr>
      <w:r>
        <w:t>Generate or validate an AI/SaMD output.</w:t>
      </w:r>
    </w:p>
    <w:p>
      <w:pPr>
        <w:pStyle w:val="ListBullet"/>
      </w:pPr>
      <w:r>
        <w:t>Enrol NHS trust sites unless the register and this protocol are amended and HRA Approval is obtained.</w:t>
      </w:r>
    </w:p>
    <w:p>
      <w:pPr>
        <w:pStyle w:val="Heading1"/>
      </w:pPr>
      <w:r>
        <w:t>Study Design</w:t>
      </w:r>
    </w:p>
    <w:p>
      <w:r>
        <w:t>Purpose: Define the design so it cannot be read as a clinical investigation or a multi-centre NHS trial.</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no in-app interpretation.</w:t>
      </w:r>
    </w:p>
    <w:p>
      <w:pPr/>
      <w:r>
        <w:t>Classification: non-CTIMP research. Not (on the locked intended purpose) a UK MDR clinical investigation. REC review is required before first participant. HRA Approval is not required while no NHS organisation is a research site.</w:t>
      </w:r>
    </w:p>
    <w:p>
      <w:pPr>
        <w:pStyle w:val="Heading2"/>
      </w:pPr>
      <w:r>
        <w:t>Product under study</w:t>
      </w:r>
    </w:p>
    <w:p>
      <w:pPr/>
      <w:r>
        <w:t>Lazoo v1 tracking-only restricted research app (Apple Unlisted; Play closed testing). The research-ready build must be pinned in LAZ-VER-001 before first participant: intended-purpose text matching the lock, four consent toggles stored with wording version and timestamp, JSON+CSV export of raw timestamps, append-only diary-edit history, and a study_link field (study ID, site code, consent-pack version).</w:t>
      </w:r>
    </w:p>
    <w:p>
      <w:pPr/>
      <w:r>
        <w:rPr>
          <w:b/>
        </w:rPr>
        <w:t>[GAP] App version pin and release note for a research-ready build are outstanding. This protocol is not executable until LAZ-VER-001 names the pin.</w:t>
      </w:r>
    </w:p>
    <w:p>
      <w:pPr>
        <w:pStyle w:val="Heading2"/>
      </w:pPr>
      <w:r>
        <w:t>Comparator handling and copyright</w:t>
      </w:r>
    </w:p>
    <w:p>
      <w:pPr/>
      <w:r>
        <w:t>CSD-M is cited, not reproduced. Construct names and field codes are used in the protocol, CRF, and data dictionary. Verbatim CSD-M question stems, Figure 2, and the publisher PDF must not be pasted into the TMF, the app, or the CRF until a written industry licence from Dr Colleen Carney is on file (commercial use; fees are charged). Request route: the Carney lab sleep-diary page / ePROVIDE listing for the Consensus Sleep Diary. UK wording tweaks (for example soda → soft drink, oz → ml) are a linguistic adaptation and also need the copyright holder’s agreement if stems change.</w:t>
      </w:r>
    </w:p>
    <w:p>
      <w:pPr/>
      <w:r>
        <w:rPr>
          <w:b/>
        </w:rPr>
        <w:t>[GAP] Colleen Carney / industry licence for CSD-M is not on file. Until it is, source worksheets may use construct labels and clock-time boxes only, or a licensed copy once obtained. Do not file the Carney PDF in the TMF.</w:t>
      </w:r>
    </w:p>
    <w:p>
      <w:pPr>
        <w:pStyle w:val="Heading2"/>
      </w:pPr>
      <w:r>
        <w:t>Sites</w:t>
      </w:r>
    </w:p>
    <w:p>
      <w:pPr/>
      <w:r>
        <w:t xml:space="preserve">Default setting: invited adult volunteers, remote. </w:t>
      </w:r>
      <w:r>
        <w:rPr>
          <w:strike/>
        </w:rPr>
        <w:t>Sleep and Health Clinic App Ltd</w:t>
      </w:r>
      <w:r>
        <w:rPr/>
        <w:t xml:space="preserve"> SHC Sleep Solutions Limited</w:t>
      </w:r>
      <w:r>
        <w:t xml:space="preserve"> is the sole sponsor. Sleep &amp; Health Clinic Ltd is a separate legal entity and is not a named research site in this version.</w:t>
      </w:r>
    </w:p>
    <w:p>
      <w:pPr/>
      <w:r>
        <w:t>First-wave research-licence conversations (outreach only; not contracted; not sites; no ISF until a licence is fully executed):</w:t>
      </w:r>
    </w:p>
    <w:p>
      <w:pPr>
        <w:pStyle w:val="ListBullet"/>
      </w:pPr>
      <w:r>
        <w:t>University of Surrey Sleep Research Centre (SSRC) — Dijk / Archer</w:t>
      </w:r>
    </w:p>
    <w:p>
      <w:pPr>
        <w:pStyle w:val="ListBullet"/>
      </w:pPr>
      <w:r>
        <w:t>Northumbria University Northumbria Centre for Sleep Research (NCSR) — Ellis</w:t>
      </w:r>
    </w:p>
    <w:p>
      <w:pPr>
        <w:pStyle w:val="ListBullet"/>
      </w:pPr>
      <w:r>
        <w:t>UCL Sleep Education and Research Laboratory (SERL) — Dimitriou</w:t>
      </w:r>
    </w:p>
    <w:p>
      <w:pPr/>
      <w:r>
        <w:t>Do not name other organisations as partners or sites in this protocol. Adding any NHS trust requires a stop, an mCIA or equivalent, HRA Approval, and a protocol amendment.</w:t>
      </w:r>
    </w:p>
    <w:p>
      <w:pPr>
        <w:pStyle w:val="Heading2"/>
      </w:pPr>
      <w:r>
        <w:t>Actigraphy</w:t>
      </w:r>
    </w:p>
    <w:p>
      <w:pPr/>
      <w:r>
        <w:t>Wrist actigraphy is switched off in v0.2. Adding it would require a protocol amendment, a named CE-marked logger and scoring SOP, and must not convert this study into a device clinical investigation.</w:t>
      </w:r>
    </w:p>
    <w:p>
      <w:pPr>
        <w:pStyle w:val="Heading1"/>
      </w:pPr>
      <w:r>
        <w:t>Study Population</w:t>
      </w:r>
    </w:p>
    <w:p>
      <w:r>
        <w:t>Purpose: Define who may take part without implying a clinical population that the app is meant to diagnose.</w:t>
      </w:r>
    </w:p>
    <w:p>
      <w:r>
        <w:t>Adults aged 18 years or over who can use the restricted English-language app and who are willing to complete both Lazoo and CSD-M each morning for 14 days. Participants are invited volunteers. They are not enrolled as NHS patients under this version, and no care will change because of diary values.</w:t>
      </w:r>
    </w:p>
    <w:p>
      <w:pPr/>
      <w:r>
        <w:t>Target for feasibility: 30 completers. Screening may continue until that floor is met or the CI stops the study. The SAP may raise the n; it may not lower the completer definition without a protocol amendment.</w:t>
      </w:r>
    </w:p>
    <w:p>
      <w:pPr/>
      <w:r>
        <w:t>A completer is a participant with at least 10 of 14 paired mornings that are evaluable for calculated TST on both diaries (see Endpoints).</w:t>
      </w:r>
    </w:p>
    <w:p>
      <w:pPr/>
      <w:r>
        <w:t>Parent/carer completion and anyone under 18 are out of scope until a paediatric PIS exists.</w:t>
      </w:r>
    </w:p>
    <w:p>
      <w:pPr>
        <w:pStyle w:val="Heading1"/>
      </w:pPr>
      <w:r>
        <w:t>Inclusion Criteria</w:t>
      </w:r>
    </w:p>
    <w:p>
      <w:r>
        <w:t>Purpose: List criteria that can be ticked on the CRF without a diagnostic interview.</w:t>
      </w:r>
    </w:p>
    <w:p>
      <w:r/>
    </w:p>
    <w:p>
      <w:pPr>
        <w:pStyle w:val="ListNumber"/>
      </w:pPr>
      <w:r>
        <w:t>Aged ≥18 years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REC-approved remote) and to be contacted at admin@sleepandhealth.org / the study phone number recorded on the PIS.</w:t>
      </w:r>
    </w:p>
    <w:p>
      <w:pPr>
        <w:pStyle w:val="ListNumber"/>
      </w:pPr>
      <w:r>
        <w:t>Consent toggle 1 (use the diary) and toggle 3 (research use of a pseudonymised copy for this protocol) both on. Toggle 4 (future clinical tools / models) is not required and is off for the default VAL-001 analysis population.</w:t>
      </w:r>
    </w:p>
    <w:p>
      <w:pPr>
        <w:pStyle w:val="Heading1"/>
      </w:pPr>
      <w:r>
        <w:t>Exclusion Criteria</w:t>
      </w:r>
    </w:p>
    <w:p>
      <w:r>
        <w:t>Purpose: Exclude people for whom two diaries would be inappropriate or would duplicate another trial, not on diagnostic grounds for the app.</w:t>
      </w:r>
    </w:p>
    <w:p>
      <w:r/>
    </w:p>
    <w:p>
      <w:pPr>
        <w:pStyle w:val="ListNumber"/>
      </w:pPr>
      <w:r>
        <w:t>Unable to give informed consent.</w:t>
      </w:r>
    </w:p>
    <w:p>
      <w:pPr>
        <w:pStyle w:val="ListNumber"/>
      </w:pPr>
      <w:r>
        <w:t>Current participation in another sleep-diary research study that would duplicate the same nights.</w:t>
      </w:r>
    </w:p>
    <w:p>
      <w:pPr>
        <w:pStyle w:val="ListNumber"/>
      </w:pPr>
      <w:r>
        <w:t>CI or delegated researcher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 closed-testing app.</w:t>
      </w:r>
    </w:p>
    <w:p>
      <w:pPr>
        <w:pStyle w:val="ListNumber"/>
      </w:pPr>
      <w:r>
        <w:t>NHS-site enrolment (not permitted under this version).</w:t>
      </w:r>
    </w:p>
    <w:p>
      <w:pPr/>
      <w:r>
        <w:t>People who currently have a sleep difficulty, or who attend a sleep clinic, are not excluded by that fact alone, and they are not enrolled in order to test a diagnostic claim. Self-reported background is descriptive only.</w:t>
      </w:r>
    </w:p>
    <w:p>
      <w:pPr>
        <w:pStyle w:val="Heading1"/>
      </w:pPr>
      <w:r>
        <w:t>Study Procedures</w:t>
      </w:r>
    </w:p>
    <w:p>
      <w:r>
        <w:t>Purpose: Describe a 14-morning paired-diary path that cannot auto-fill the comparator and does not deliver scores or flags.</w:t>
      </w:r>
    </w:p>
    <w:p>
      <w:r/>
    </w:p>
    <w:p>
      <w:pPr>
        <w:pStyle w:val="ListNumber"/>
      </w:pPr>
      <w:r>
        <w:t>Invitation and screening against inclusion/exclusion. Participant ID format: LAZ-VAL-001-NNN (never reused).</w:t>
      </w:r>
    </w:p>
    <w:p>
      <w:pPr>
        <w:pStyle w:val="ListNumber"/>
      </w:pPr>
      <w:r>
        <w:t xml:space="preserve">Informed consent (written or REC-approved remote). Store the consent-pack version on the user record. Research contact on all participant-facing sheets: admin@sleepandhealth.org (not a personal Gmail). Do not use Chelsea PALS, UCLH PALS, or any NHS PALS line on </w:t>
      </w:r>
      <w:r>
        <w:rPr>
          <w:strike/>
        </w:rPr>
        <w:t>App Ltd</w:t>
      </w:r>
      <w:r>
        <w:rPr/>
        <w:t xml:space="preserve"> SHC Sleep Solutions Limited</w:t>
      </w:r>
      <w:r>
        <w:t xml:space="preserve"> documents.</w:t>
      </w:r>
    </w:p>
    <w:p>
      <w:pPr>
        <w:pStyle w:val="ListNumber"/>
      </w:pPr>
      <w:r>
        <w:t>Issue study code / login. The app must not be publicly listed. Confirm app version against the LAZ-VER-001 pin.</w:t>
      </w:r>
    </w:p>
    <w:p>
      <w:pPr>
        <w:pStyle w:val="ListNumber"/>
      </w:pPr>
      <w:r>
        <w:t>Training (visit 0 / day 0): one walkthrough of CSD-M construct fields and of the Lazoo morning diary. CSD-M is completed on paper or a locked PDF so Lazoo cannot auto-fill it. in_bed and sleep_attempt are trained as two different clocks.</w:t>
      </w:r>
    </w:p>
    <w:p>
      <w:pPr>
        <w:pStyle w:val="ListNumber"/>
      </w:pPr>
      <w:r>
        <w:t>Mornings 1–14: CSD-M first, then Lazoo, same sitting. No in-app interpretation, score, flag, CBT-I lesson, or phenotyping output. Participants may edit Lazoo; edits are append-only with original retained.</w:t>
      </w:r>
    </w:p>
    <w:p>
      <w:pPr>
        <w:pStyle w:val="ListNumber"/>
      </w:pPr>
      <w:r>
        <w:t>Day 15 (or first working day after morning 14): return CSD-M source worksheets; complete SUS; complete three structured usability questions; optional short interview (audio only if separately consented; default is notes on the CRF). Confirm withdrawal wishes for toggle 3.</w:t>
      </w:r>
    </w:p>
    <w:p>
      <w:pPr>
        <w:pStyle w:val="ListNumber"/>
      </w:pPr>
      <w:r>
        <w:t>Close-out: export Lazoo JSON+CSV; file export receipt on the CRF; stop study access or leave the person on the restricted app for personal use under toggle 1 only, as they choose.</w:t>
      </w:r>
    </w:p>
    <w:p>
      <w:pPr/>
      <w:r>
        <w:t>Toggle 2 (share with a nominated clinician) is optional and is not required for VAL-001. Any share is the history only, with no automated interpretation line.</w:t>
      </w:r>
    </w:p>
    <w:p>
      <w:pPr/>
      <w:r>
        <w:t>Deviations (wrong order, Lazoo completed first, missed morning, lost PDF) are logged. A morning with Lazoo-first is not primary-evaluable unless the SAP defines a sensitivity rule.</w:t>
      </w:r>
    </w:p>
    <w:p>
      <w:pPr>
        <w:pStyle w:val="Heading1"/>
      </w:pPr>
      <w:r>
        <w:t>Study Assessments</w:t>
      </w:r>
    </w:p>
    <w:p>
      <w:r>
        <w:t>Purpose: Name instruments by citation and construct, without pasting copyrighted CSD-M stems.</w:t>
      </w:r>
    </w:p>
    <w:p>
      <w:r/>
    </w:p>
    <w:p>
      <w:pPr>
        <w:pStyle w:val="Heading2"/>
      </w:pPr>
      <w:r>
        <w:t>CSD-M (comparator)</w:t>
      </w:r>
    </w:p>
    <w:p>
      <w:pPr/>
      <w:r>
        <w:t>Reference: Carney et al., Sleep 2012;35:287–302. doi:10.5665/sleep.1642. Morning diary. Source document: paper or locked PDF retained in the ISF/TMF only if licensed. CRF transcribes construct values (clock times, durations, counts, categorical ratings) using the field map below. Double transcription with discrepancy log, or single transcription plus photograph of the source with a file log, as specified in the DMP.</w:t>
      </w:r>
    </w:p>
    <w:p>
      <w:pPr>
        <w:pStyle w:val="Heading2"/>
      </w:pPr>
      <w:r>
        <w:t>Lazoo v1 (index diary)</w:t>
      </w:r>
    </w:p>
    <w:p>
      <w:pPr/>
      <w:r>
        <w:t>Restricted research app. Fields named in the research data dictionary (LAZ-TPL-DICT / study map). Derived TST, SOL, WASO, TIB, SE are computed on export from raw clocks; raw timestamps are stored. Lifestyle caffeine, alcohol, and medications are user-entered text, not a coded medical history. Reserved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CSD-M item (construct only)</w:t>
            </w:r>
          </w:p>
        </w:tc>
        <w:tc>
          <w:tcPr>
            <w:tcW w:type="dxa" w:w="2160"/>
            <w:shd w:fill="1F4E79" w:val="clear"/>
          </w:tcPr>
          <w:p>
            <w:r>
              <w:rPr>
                <w:b/>
                <w:color w:val="FFFFFF"/>
                <w:sz w:val="20"/>
              </w:rPr>
              <w:t>Construct</w:t>
            </w:r>
          </w:p>
        </w:tc>
        <w:tc>
          <w:tcPr>
            <w:tcW w:type="dxa" w:w="2160"/>
            <w:shd w:fill="1F4E79" w:val="clear"/>
          </w:tcPr>
          <w:p>
            <w:r>
              <w:rPr>
                <w:b/>
                <w:color w:val="FFFFFF"/>
                <w:sz w:val="20"/>
              </w:rPr>
              <w:t>Lazoo field</w:t>
            </w:r>
          </w:p>
        </w:tc>
        <w:tc>
          <w:tcPr>
            <w:tcW w:type="dxa" w:w="2160"/>
            <w:shd w:fill="1F4E79" w:val="clear"/>
          </w:tcPr>
          <w:p>
            <w:r>
              <w:rPr>
                <w:b/>
                <w:color w:val="FFFFFF"/>
                <w:sz w:val="20"/>
              </w:rPr>
              <w:t>Role in VAL-001</w:t>
            </w:r>
          </w:p>
        </w:tc>
      </w:tr>
      <w:tr>
        <w:tc>
          <w:tcPr>
            <w:tcW w:type="dxa" w:w="2160"/>
          </w:tcPr>
          <w:p>
            <w:r>
              <w:rPr>
                <w:sz w:val="18"/>
              </w:rPr>
              <w:t>Date</w:t>
            </w:r>
          </w:p>
        </w:tc>
        <w:tc>
          <w:tcPr>
            <w:tcW w:type="dxa" w:w="2160"/>
          </w:tcPr>
          <w:p>
            <w:r>
              <w:rPr>
                <w:sz w:val="18"/>
              </w:rPr>
              <w:t>Morning date</w:t>
            </w:r>
          </w:p>
        </w:tc>
        <w:tc>
          <w:tcPr>
            <w:tcW w:type="dxa" w:w="2160"/>
          </w:tcPr>
          <w:p>
            <w:r>
              <w:rPr>
                <w:sz w:val="18"/>
              </w:rPr>
              <w:t>diary_date</w:t>
            </w:r>
          </w:p>
        </w:tc>
        <w:tc>
          <w:tcPr>
            <w:tcW w:type="dxa" w:w="2160"/>
          </w:tcPr>
          <w:p>
            <w:r>
              <w:rPr>
                <w:sz w:val="18"/>
              </w:rPr>
              <w:t>Admin; pairing key</w:t>
            </w:r>
          </w:p>
        </w:tc>
      </w:tr>
      <w:tr>
        <w:tc>
          <w:tcPr>
            <w:tcW w:type="dxa" w:w="2160"/>
          </w:tcPr>
          <w:p>
            <w:r>
              <w:rPr>
                <w:sz w:val="18"/>
              </w:rPr>
              <w:t>1</w:t>
            </w:r>
          </w:p>
        </w:tc>
        <w:tc>
          <w:tcPr>
            <w:tcW w:type="dxa" w:w="2160"/>
          </w:tcPr>
          <w:p>
            <w:r>
              <w:rPr>
                <w:sz w:val="18"/>
              </w:rPr>
              <w:t>Clock time into bed</w:t>
            </w:r>
          </w:p>
        </w:tc>
        <w:tc>
          <w:tcPr>
            <w:tcW w:type="dxa" w:w="2160"/>
          </w:tcPr>
          <w:p>
            <w:r>
              <w:rPr>
                <w:sz w:val="18"/>
              </w:rPr>
              <w:t>in_bed</w:t>
            </w:r>
          </w:p>
        </w:tc>
        <w:tc>
          <w:tcPr>
            <w:tcW w:type="dxa" w:w="2160"/>
          </w:tcPr>
          <w:p>
            <w:r>
              <w:rPr>
                <w:sz w:val="18"/>
              </w:rPr>
              <w:t>TIB; kept separate from item 2</w:t>
            </w:r>
          </w:p>
        </w:tc>
      </w:tr>
      <w:tr>
        <w:tc>
          <w:tcPr>
            <w:tcW w:type="dxa" w:w="2160"/>
          </w:tcPr>
          <w:p>
            <w:r>
              <w:rPr>
                <w:sz w:val="18"/>
              </w:rPr>
              <w:t>2</w:t>
            </w:r>
          </w:p>
        </w:tc>
        <w:tc>
          <w:tcPr>
            <w:tcW w:type="dxa" w:w="2160"/>
          </w:tcPr>
          <w:p>
            <w:r>
              <w:rPr>
                <w:sz w:val="18"/>
              </w:rPr>
              <w:t>Clock time tried to sleep</w:t>
            </w:r>
          </w:p>
        </w:tc>
        <w:tc>
          <w:tcPr>
            <w:tcW w:type="dxa" w:w="2160"/>
          </w:tcPr>
          <w:p>
            <w:r>
              <w:rPr>
                <w:sz w:val="18"/>
              </w:rPr>
              <w:t>sleep_attempt</w:t>
            </w:r>
          </w:p>
        </w:tc>
        <w:tc>
          <w:tcPr>
            <w:tcW w:type="dxa" w:w="2160"/>
          </w:tcPr>
          <w:p>
            <w:r>
              <w:rPr>
                <w:sz w:val="18"/>
              </w:rPr>
              <w:t>SOL start; TST start; kept separate from item 1</w:t>
            </w:r>
          </w:p>
        </w:tc>
      </w:tr>
      <w:tr>
        <w:tc>
          <w:tcPr>
            <w:tcW w:type="dxa" w:w="2160"/>
          </w:tcPr>
          <w:p>
            <w:r>
              <w:rPr>
                <w:sz w:val="18"/>
              </w:rPr>
              <w:t>3</w:t>
            </w:r>
          </w:p>
        </w:tc>
        <w:tc>
          <w:tcPr>
            <w:tcW w:type="dxa" w:w="2160"/>
          </w:tcPr>
          <w:p>
            <w:r>
              <w:rPr>
                <w:sz w:val="18"/>
              </w:rPr>
              <w:t>Time to fall asleep (duration)</w:t>
            </w:r>
          </w:p>
        </w:tc>
        <w:tc>
          <w:tcPr>
            <w:tcW w:type="dxa" w:w="2160"/>
          </w:tcPr>
          <w:p>
            <w:r>
              <w:rPr>
                <w:sz w:val="18"/>
              </w:rPr>
              <w:t>SOL; sleep_onset derived = sleep_attempt + SOL</w:t>
            </w:r>
          </w:p>
        </w:tc>
        <w:tc>
          <w:tcPr>
            <w:tcW w:type="dxa" w:w="2160"/>
          </w:tcPr>
          <w:p>
            <w:r>
              <w:rPr>
                <w:sz w:val="18"/>
              </w:rPr>
              <w:t>Secondary SOL</w:t>
            </w:r>
          </w:p>
        </w:tc>
      </w:tr>
      <w:tr>
        <w:tc>
          <w:tcPr>
            <w:tcW w:type="dxa" w:w="2160"/>
          </w:tcPr>
          <w:p>
            <w:r>
              <w:rPr>
                <w:sz w:val="18"/>
              </w:rPr>
              <w:t>4</w:t>
            </w:r>
          </w:p>
        </w:tc>
        <w:tc>
          <w:tcPr>
            <w:tcW w:type="dxa" w:w="2160"/>
          </w:tcPr>
          <w:p>
            <w:r>
              <w:rPr>
                <w:sz w:val="18"/>
              </w:rPr>
              <w:t>Number of wakes excluding final</w:t>
            </w:r>
          </w:p>
        </w:tc>
        <w:tc>
          <w:tcPr>
            <w:tcW w:type="dxa" w:w="2160"/>
          </w:tcPr>
          <w:p>
            <w:r>
              <w:rPr>
                <w:sz w:val="18"/>
              </w:rPr>
              <w:t>awakenings_n</w:t>
            </w:r>
          </w:p>
        </w:tc>
        <w:tc>
          <w:tcPr>
            <w:tcW w:type="dxa" w:w="2160"/>
          </w:tcPr>
          <w:p>
            <w:r>
              <w:rPr>
                <w:sz w:val="18"/>
              </w:rPr>
              <w:t>Secondary count</w:t>
            </w:r>
          </w:p>
        </w:tc>
      </w:tr>
      <w:tr>
        <w:tc>
          <w:tcPr>
            <w:tcW w:type="dxa" w:w="2160"/>
          </w:tcPr>
          <w:p>
            <w:r>
              <w:rPr>
                <w:sz w:val="18"/>
              </w:rPr>
              <w:t>5</w:t>
            </w:r>
          </w:p>
        </w:tc>
        <w:tc>
          <w:tcPr>
            <w:tcW w:type="dxa" w:w="2160"/>
          </w:tcPr>
          <w:p>
            <w:r>
              <w:rPr>
                <w:sz w:val="18"/>
              </w:rPr>
              <w:t>Total length of those wakes</w:t>
            </w:r>
          </w:p>
        </w:tc>
        <w:tc>
          <w:tcPr>
            <w:tcW w:type="dxa" w:w="2160"/>
          </w:tcPr>
          <w:p>
            <w:r>
              <w:rPr>
                <w:sz w:val="18"/>
              </w:rPr>
              <w:t>WASO (sum of awakenings_detail[].duration excluding final)</w:t>
            </w:r>
          </w:p>
        </w:tc>
        <w:tc>
          <w:tcPr>
            <w:tcW w:type="dxa" w:w="2160"/>
          </w:tcPr>
          <w:p>
            <w:r>
              <w:rPr>
                <w:sz w:val="18"/>
              </w:rPr>
              <w:t>Secondary WASO; feeds TST/SE</w:t>
            </w:r>
          </w:p>
        </w:tc>
      </w:tr>
      <w:tr>
        <w:tc>
          <w:tcPr>
            <w:tcW w:type="dxa" w:w="2160"/>
          </w:tcPr>
          <w:p>
            <w:r>
              <w:rPr>
                <w:sz w:val="18"/>
              </w:rPr>
              <w:t>6a</w:t>
            </w:r>
          </w:p>
        </w:tc>
        <w:tc>
          <w:tcPr>
            <w:tcW w:type="dxa" w:w="2160"/>
          </w:tcPr>
          <w:p>
            <w:r>
              <w:rPr>
                <w:sz w:val="18"/>
              </w:rPr>
              <w:t>Clock time of final awakening</w:t>
            </w:r>
          </w:p>
        </w:tc>
        <w:tc>
          <w:tcPr>
            <w:tcW w:type="dxa" w:w="2160"/>
          </w:tcPr>
          <w:p>
            <w:r>
              <w:rPr>
                <w:sz w:val="18"/>
              </w:rPr>
              <w:t>wake</w:t>
            </w:r>
          </w:p>
        </w:tc>
        <w:tc>
          <w:tcPr>
            <w:tcW w:type="dxa" w:w="2160"/>
          </w:tcPr>
          <w:p>
            <w:r>
              <w:rPr>
                <w:sz w:val="18"/>
              </w:rPr>
              <w:t>TWAK, TST, SE</w:t>
            </w:r>
          </w:p>
        </w:tc>
      </w:tr>
      <w:tr>
        <w:tc>
          <w:tcPr>
            <w:tcW w:type="dxa" w:w="2160"/>
          </w:tcPr>
          <w:p>
            <w:r>
              <w:rPr>
                <w:sz w:val="18"/>
              </w:rPr>
              <w:t>6b</w:t>
            </w:r>
          </w:p>
        </w:tc>
        <w:tc>
          <w:tcPr>
            <w:tcW w:type="dxa" w:w="2160"/>
          </w:tcPr>
          <w:p>
            <w:r>
              <w:rPr>
                <w:sz w:val="18"/>
              </w:rPr>
              <w:t>Minutes trying after final wake</w:t>
            </w:r>
          </w:p>
        </w:tc>
        <w:tc>
          <w:tcPr>
            <w:tcW w:type="dxa" w:w="2160"/>
          </w:tcPr>
          <w:p>
            <w:r>
              <w:rPr>
                <w:sz w:val="18"/>
              </w:rPr>
              <w:t>twak_try_min</w:t>
            </w:r>
          </w:p>
        </w:tc>
        <w:tc>
          <w:tcPr>
            <w:tcW w:type="dxa" w:w="2160"/>
          </w:tcPr>
          <w:p>
            <w:r>
              <w:rPr>
                <w:sz w:val="18"/>
              </w:rPr>
              <w:t>Optional sensitivity; not required for primary TWAK</w:t>
            </w:r>
          </w:p>
        </w:tc>
      </w:tr>
      <w:tr>
        <w:tc>
          <w:tcPr>
            <w:tcW w:type="dxa" w:w="2160"/>
          </w:tcPr>
          <w:p>
            <w:r>
              <w:rPr>
                <w:sz w:val="18"/>
              </w:rPr>
              <w:t>6c / 6d</w:t>
            </w:r>
          </w:p>
        </w:tc>
        <w:tc>
          <w:tcPr>
            <w:tcW w:type="dxa" w:w="2160"/>
          </w:tcPr>
          <w:p>
            <w:r>
              <w:rPr>
                <w:sz w:val="18"/>
              </w:rPr>
              <w:t>Earlier than planned (yes/no and minutes)</w:t>
            </w:r>
          </w:p>
        </w:tc>
        <w:tc>
          <w:tcPr>
            <w:tcW w:type="dxa" w:w="2160"/>
          </w:tcPr>
          <w:p>
            <w:r>
              <w:rPr>
                <w:sz w:val="18"/>
              </w:rPr>
              <w:t>ema_yn, ema_min</w:t>
            </w:r>
          </w:p>
        </w:tc>
        <w:tc>
          <w:tcPr>
            <w:tcW w:type="dxa" w:w="2160"/>
          </w:tcPr>
          <w:p>
            <w:r>
              <w:rPr>
                <w:sz w:val="18"/>
              </w:rPr>
              <w:t>Not an index</w:t>
            </w:r>
          </w:p>
        </w:tc>
      </w:tr>
      <w:tr>
        <w:tc>
          <w:tcPr>
            <w:tcW w:type="dxa" w:w="2160"/>
          </w:tcPr>
          <w:p>
            <w:r>
              <w:rPr>
                <w:sz w:val="18"/>
              </w:rPr>
              <w:t>7</w:t>
            </w:r>
          </w:p>
        </w:tc>
        <w:tc>
          <w:tcPr>
            <w:tcW w:type="dxa" w:w="2160"/>
          </w:tcPr>
          <w:p>
            <w:r>
              <w:rPr>
                <w:sz w:val="18"/>
              </w:rPr>
              <w:t>Clock time out of bed for the day</w:t>
            </w:r>
          </w:p>
        </w:tc>
        <w:tc>
          <w:tcPr>
            <w:tcW w:type="dxa" w:w="2160"/>
          </w:tcPr>
          <w:p>
            <w:r>
              <w:rPr>
                <w:sz w:val="18"/>
              </w:rPr>
              <w:t>out_of_bed</w:t>
            </w:r>
          </w:p>
        </w:tc>
        <w:tc>
          <w:tcPr>
            <w:tcW w:type="dxa" w:w="2160"/>
          </w:tcPr>
          <w:p>
            <w:r>
              <w:rPr>
                <w:sz w:val="18"/>
              </w:rPr>
              <w:t>TIB, TWAK, TST, SE</w:t>
            </w:r>
          </w:p>
        </w:tc>
      </w:tr>
      <w:tr>
        <w:tc>
          <w:tcPr>
            <w:tcW w:type="dxa" w:w="2160"/>
          </w:tcPr>
          <w:p>
            <w:r>
              <w:rPr>
                <w:sz w:val="18"/>
              </w:rPr>
              <w:t>8</w:t>
            </w:r>
          </w:p>
        </w:tc>
        <w:tc>
          <w:tcPr>
            <w:tcW w:type="dxa" w:w="2160"/>
          </w:tcPr>
          <w:p>
            <w:r>
              <w:rPr>
                <w:sz w:val="18"/>
              </w:rPr>
              <w:t>Subjective estimated total sleep</w:t>
            </w:r>
          </w:p>
        </w:tc>
        <w:tc>
          <w:tcPr>
            <w:tcW w:type="dxa" w:w="2160"/>
          </w:tcPr>
          <w:p>
            <w:r>
              <w:rPr>
                <w:sz w:val="18"/>
              </w:rPr>
              <w:t>tst_subjective</w:t>
            </w:r>
          </w:p>
        </w:tc>
        <w:tc>
          <w:tcPr>
            <w:tcW w:type="dxa" w:w="2160"/>
          </w:tcPr>
          <w:p>
            <w:r>
              <w:rPr>
                <w:sz w:val="18"/>
              </w:rPr>
              <w:t>Exploratory only; NOT primary</w:t>
            </w:r>
          </w:p>
        </w:tc>
      </w:tr>
      <w:tr>
        <w:tc>
          <w:tcPr>
            <w:tcW w:type="dxa" w:w="2160"/>
          </w:tcPr>
          <w:p>
            <w:r>
              <w:rPr>
                <w:sz w:val="18"/>
              </w:rPr>
              <w:t>9</w:t>
            </w:r>
          </w:p>
        </w:tc>
        <w:tc>
          <w:tcPr>
            <w:tcW w:type="dxa" w:w="2160"/>
          </w:tcPr>
          <w:p>
            <w:r>
              <w:rPr>
                <w:sz w:val="18"/>
              </w:rPr>
              <w:t>Sleep quality (very poor → very good)</w:t>
            </w:r>
          </w:p>
        </w:tc>
        <w:tc>
          <w:tcPr>
            <w:tcW w:type="dxa" w:w="2160"/>
          </w:tcPr>
          <w:p>
            <w:r>
              <w:rPr>
                <w:sz w:val="18"/>
              </w:rPr>
              <w:t>sleep_quality</w:t>
            </w:r>
          </w:p>
        </w:tc>
        <w:tc>
          <w:tcPr>
            <w:tcW w:type="dxa" w:w="2160"/>
          </w:tcPr>
          <w:p>
            <w:r>
              <w:rPr>
                <w:sz w:val="18"/>
              </w:rPr>
              <w:t>Core construct, not an index</w:t>
            </w:r>
          </w:p>
        </w:tc>
      </w:tr>
      <w:tr>
        <w:tc>
          <w:tcPr>
            <w:tcW w:type="dxa" w:w="2160"/>
          </w:tcPr>
          <w:p>
            <w:r>
              <w:rPr>
                <w:sz w:val="18"/>
              </w:rPr>
              <w:t>10</w:t>
            </w:r>
          </w:p>
        </w:tc>
        <w:tc>
          <w:tcPr>
            <w:tcW w:type="dxa" w:w="2160"/>
          </w:tcPr>
          <w:p>
            <w:r>
              <w:rPr>
                <w:sz w:val="18"/>
              </w:rPr>
              <w:t>Rested / refreshed</w:t>
            </w:r>
          </w:p>
        </w:tc>
        <w:tc>
          <w:tcPr>
            <w:tcW w:type="dxa" w:w="2160"/>
          </w:tcPr>
          <w:p>
            <w:r>
              <w:rPr>
                <w:sz w:val="18"/>
              </w:rPr>
              <w:t>restedness</w:t>
            </w:r>
          </w:p>
        </w:tc>
        <w:tc>
          <w:tcPr>
            <w:tcW w:type="dxa" w:w="2160"/>
          </w:tcPr>
          <w:p>
            <w:r>
              <w:rPr>
                <w:sz w:val="18"/>
              </w:rPr>
              <w:t>Not an index</w:t>
            </w:r>
          </w:p>
        </w:tc>
      </w:tr>
      <w:tr>
        <w:tc>
          <w:tcPr>
            <w:tcW w:type="dxa" w:w="2160"/>
          </w:tcPr>
          <w:p>
            <w:r>
              <w:rPr>
                <w:sz w:val="18"/>
              </w:rPr>
              <w:t>11a / 11b</w:t>
            </w:r>
          </w:p>
        </w:tc>
        <w:tc>
          <w:tcPr>
            <w:tcW w:type="dxa" w:w="2160"/>
          </w:tcPr>
          <w:p>
            <w:r>
              <w:rPr>
                <w:sz w:val="18"/>
              </w:rPr>
              <w:t>Nap or doze count and duration</w:t>
            </w:r>
          </w:p>
        </w:tc>
        <w:tc>
          <w:tcPr>
            <w:tcW w:type="dxa" w:w="2160"/>
          </w:tcPr>
          <w:p>
            <w:r>
              <w:rPr>
                <w:sz w:val="18"/>
              </w:rPr>
              <w:t>naps[]</w:t>
            </w:r>
          </w:p>
        </w:tc>
        <w:tc>
          <w:tcPr>
            <w:tcW w:type="dxa" w:w="2160"/>
          </w:tcPr>
          <w:p>
            <w:r>
              <w:rPr>
                <w:sz w:val="18"/>
              </w:rPr>
              <w:t>Not nocturnal TST</w:t>
            </w:r>
          </w:p>
        </w:tc>
      </w:tr>
      <w:tr>
        <w:tc>
          <w:tcPr>
            <w:tcW w:type="dxa" w:w="2160"/>
          </w:tcPr>
          <w:p>
            <w:r>
              <w:rPr>
                <w:sz w:val="18"/>
              </w:rPr>
              <w:t>12–14</w:t>
            </w:r>
          </w:p>
        </w:tc>
        <w:tc>
          <w:tcPr>
            <w:tcW w:type="dxa" w:w="2160"/>
          </w:tcPr>
          <w:p>
            <w:r>
              <w:rPr>
                <w:sz w:val="18"/>
              </w:rPr>
              <w:t>Alcohol, caffeine, sleep medication</w:t>
            </w:r>
          </w:p>
        </w:tc>
        <w:tc>
          <w:tcPr>
            <w:tcW w:type="dxa" w:w="2160"/>
          </w:tcPr>
          <w:p>
            <w:r>
              <w:rPr>
                <w:sz w:val="18"/>
              </w:rPr>
              <w:t>alcohol_*, caffeine_*, sleep_med_* (text / count as collected)</w:t>
            </w:r>
          </w:p>
        </w:tc>
        <w:tc>
          <w:tcPr>
            <w:tcW w:type="dxa" w:w="2160"/>
          </w:tcPr>
          <w:p>
            <w:r>
              <w:rPr>
                <w:sz w:val="18"/>
              </w:rPr>
              <w:t>Covariates</w:t>
            </w:r>
          </w:p>
        </w:tc>
      </w:tr>
      <w:tr>
        <w:tc>
          <w:tcPr>
            <w:tcW w:type="dxa" w:w="2160"/>
          </w:tcPr>
          <w:p>
            <w:r>
              <w:rPr>
                <w:sz w:val="18"/>
              </w:rPr>
              <w:t>15</w:t>
            </w:r>
          </w:p>
        </w:tc>
        <w:tc>
          <w:tcPr>
            <w:tcW w:type="dxa" w:w="2160"/>
          </w:tcPr>
          <w:p>
            <w:r>
              <w:rPr>
                <w:sz w:val="18"/>
              </w:rPr>
              <w:t>Comments</w:t>
            </w:r>
          </w:p>
        </w:tc>
        <w:tc>
          <w:tcPr>
            <w:tcW w:type="dxa" w:w="2160"/>
          </w:tcPr>
          <w:p>
            <w:r>
              <w:rPr>
                <w:sz w:val="18"/>
              </w:rPr>
              <w:t>notes</w:t>
            </w:r>
          </w:p>
        </w:tc>
        <w:tc>
          <w:tcPr>
            <w:tcW w:type="dxa" w:w="2160"/>
          </w:tcPr>
          <w:p>
            <w:r>
              <w:rPr>
                <w:sz w:val="18"/>
              </w:rPr>
              <w:t>Free text; not a diagnosis</w:t>
            </w:r>
          </w:p>
        </w:tc>
      </w:tr>
    </w:tbl>
    <w:p>
      <w:pPr>
        <w:pStyle w:val="Heading2"/>
      </w:pPr>
      <w:r>
        <w:t>Usability</w:t>
      </w:r>
    </w:p>
    <w:p>
      <w:pPr/>
      <w:r>
        <w:t>System Usability Scale, 10 items, 5-point Likert, scored 0–100 (Brooke, 1996). Three structured questions (original to this protocol; not part of CSD-M): (1) After training, could you complete the Lazoo morning diary without help? (2) Was anything in Lazoo confusing compared with the paper/PDF diary? (3) Would you be willing to use Lazoo for a longer research period? Optional short interview on day 15.</w:t>
      </w:r>
    </w:p>
    <w:p>
      <w:pPr>
        <w:pStyle w:val="Heading2"/>
      </w:pPr>
      <w:r>
        <w:t>Background (non-diagnostic)</w:t>
      </w:r>
    </w:p>
    <w:p>
      <w:pPr/>
      <w:r>
        <w:t>Age, sex, whether the person currently keeps a sleep diary, and shift work in the previous 14 days. No diagnostic interview, no coded problem list, no “speed up diagnosis” language on the CRF.</w:t>
      </w:r>
    </w:p>
    <w:p>
      <w:pPr>
        <w:pStyle w:val="Heading1"/>
      </w:pPr>
      <w:r>
        <w:t>Study Schedule</w:t>
      </w:r>
    </w:p>
    <w:p>
      <w:r>
        <w:t>Purpose: Show when each assessment happens.</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Activity</w:t>
            </w:r>
          </w:p>
        </w:tc>
        <w:tc>
          <w:tcPr>
            <w:tcW w:type="dxa" w:w="2160"/>
            <w:shd w:fill="1F4E79" w:val="clear"/>
          </w:tcPr>
          <w:p>
            <w:r>
              <w:rPr>
                <w:b/>
                <w:color w:val="FFFFFF"/>
                <w:sz w:val="20"/>
              </w:rPr>
              <w:t>Screen / day 0</w:t>
            </w:r>
          </w:p>
        </w:tc>
        <w:tc>
          <w:tcPr>
            <w:tcW w:type="dxa" w:w="2160"/>
            <w:shd w:fill="1F4E79" w:val="clear"/>
          </w:tcPr>
          <w:p>
            <w:r>
              <w:rPr>
                <w:b/>
                <w:color w:val="FFFFFF"/>
                <w:sz w:val="20"/>
              </w:rPr>
              <w:t>Mornings 1–14</w:t>
            </w:r>
          </w:p>
        </w:tc>
        <w:tc>
          <w:tcPr>
            <w:tcW w:type="dxa" w:w="2160"/>
            <w:shd w:fill="1F4E79" w:val="clear"/>
          </w:tcPr>
          <w:p>
            <w:r>
              <w:rPr>
                <w:b/>
                <w:color w:val="FFFFFF"/>
                <w:sz w:val="20"/>
              </w:rPr>
              <w:t>Day 15 close-out</w:t>
            </w:r>
          </w:p>
        </w:tc>
      </w:tr>
      <w:tr>
        <w:tc>
          <w:tcPr>
            <w:tcW w:type="dxa" w:w="2160"/>
          </w:tcPr>
          <w:p>
            <w:r>
              <w:rPr>
                <w:sz w:val="18"/>
              </w:rPr>
              <w:t>Eligibility, consent, ID issued</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Training: CSD-M then Lazoo; two clocks (in_bed vs sleep_attempt)</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Restricted-app access issued (Unlisted / closed testing)</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CSD-M then Lazoo, same sitting</w:t>
            </w:r>
          </w:p>
        </w:tc>
        <w:tc>
          <w:tcPr>
            <w:tcW w:type="dxa" w:w="2160"/>
          </w:tcPr>
          <w:p>
            <w:r>
              <w:rPr>
                <w:sz w:val="18"/>
              </w:rPr>
            </w:r>
          </w:p>
        </w:tc>
        <w:tc>
          <w:tcPr>
            <w:tcW w:type="dxa" w:w="2160"/>
          </w:tcPr>
          <w:p>
            <w:r>
              <w:rPr>
                <w:sz w:val="18"/>
              </w:rPr>
              <w:t>Each morning</w:t>
            </w:r>
          </w:p>
        </w:tc>
        <w:tc>
          <w:tcPr>
            <w:tcW w:type="dxa" w:w="2160"/>
          </w:tcPr>
          <w:p>
            <w:r>
              <w:rPr>
                <w:sz w:val="18"/>
              </w:rPr>
            </w:r>
          </w:p>
        </w:tc>
      </w:tr>
      <w:tr>
        <w:tc>
          <w:tcPr>
            <w:tcW w:type="dxa" w:w="2160"/>
          </w:tcPr>
          <w:p>
            <w:r>
              <w:rPr>
                <w:sz w:val="18"/>
              </w:rPr>
              <w:t>Deviation / missed-morning log</w:t>
            </w:r>
          </w:p>
        </w:tc>
        <w:tc>
          <w:tcPr>
            <w:tcW w:type="dxa" w:w="2160"/>
          </w:tcPr>
          <w:p>
            <w:r>
              <w:rPr>
                <w:sz w:val="18"/>
              </w:rPr>
            </w:r>
          </w:p>
        </w:tc>
        <w:tc>
          <w:tcPr>
            <w:tcW w:type="dxa" w:w="2160"/>
          </w:tcPr>
          <w:p>
            <w:r>
              <w:rPr>
                <w:sz w:val="18"/>
              </w:rPr>
              <w:t>As needed</w:t>
            </w:r>
          </w:p>
        </w:tc>
        <w:tc>
          <w:tcPr>
            <w:tcW w:type="dxa" w:w="2160"/>
          </w:tcPr>
          <w:p>
            <w:r>
              <w:rPr>
                <w:sz w:val="18"/>
              </w:rPr>
              <w:t>X</w:t>
            </w:r>
          </w:p>
        </w:tc>
      </w:tr>
      <w:tr>
        <w:tc>
          <w:tcPr>
            <w:tcW w:type="dxa" w:w="2160"/>
          </w:tcPr>
          <w:p>
            <w:r>
              <w:rPr>
                <w:sz w:val="18"/>
              </w:rPr>
              <w:t>Return CSD-M source worksheets</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Lazoo JSON+CSV export receipt</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SUS + three structured questions</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Optional interview</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Distress signposting available</w:t>
            </w:r>
          </w:p>
        </w:tc>
        <w:tc>
          <w:tcPr>
            <w:tcW w:type="dxa" w:w="2160"/>
          </w:tcPr>
          <w:p>
            <w:r>
              <w:rPr>
                <w:sz w:val="18"/>
              </w:rPr>
              <w:t>X</w:t>
            </w:r>
          </w:p>
        </w:tc>
        <w:tc>
          <w:tcPr>
            <w:tcW w:type="dxa" w:w="2160"/>
          </w:tcPr>
          <w:p>
            <w:r>
              <w:rPr>
                <w:sz w:val="18"/>
              </w:rPr>
              <w:t>X</w:t>
            </w:r>
          </w:p>
        </w:tc>
        <w:tc>
          <w:tcPr>
            <w:tcW w:type="dxa" w:w="2160"/>
          </w:tcPr>
          <w:p>
            <w:r>
              <w:rPr>
                <w:sz w:val="18"/>
              </w:rPr>
              <w:t>X</w:t>
            </w:r>
          </w:p>
        </w:tc>
      </w:tr>
      <w:tr>
        <w:tc>
          <w:tcPr>
            <w:tcW w:type="dxa" w:w="2160"/>
          </w:tcPr>
          <w:p>
            <w:r>
              <w:rPr>
                <w:sz w:val="18"/>
              </w:rPr>
              <w:t>Actigraphy</w:t>
            </w:r>
          </w:p>
        </w:tc>
        <w:tc>
          <w:tcPr>
            <w:tcW w:type="dxa" w:w="2160"/>
          </w:tcPr>
          <w:p>
            <w:r>
              <w:rPr>
                <w:sz w:val="18"/>
              </w:rPr>
              <w:t>Not in v0.2</w:t>
            </w:r>
          </w:p>
        </w:tc>
        <w:tc>
          <w:tcPr>
            <w:tcW w:type="dxa" w:w="2160"/>
          </w:tcPr>
          <w:p>
            <w:r>
              <w:rPr>
                <w:sz w:val="18"/>
              </w:rPr>
              <w:t>Not in v0.2</w:t>
            </w:r>
          </w:p>
        </w:tc>
        <w:tc>
          <w:tcPr>
            <w:tcW w:type="dxa" w:w="2160"/>
          </w:tcPr>
          <w:p>
            <w:r>
              <w:rPr>
                <w:sz w:val="18"/>
              </w:rPr>
              <w:t>Not in v0.2</w:t>
            </w:r>
          </w:p>
        </w:tc>
      </w:tr>
    </w:tbl>
    <w:p>
      <w:pPr/>
      <w:r>
        <w:t>Windows: a morning diary is expected after the main sleep episode, the same calendar morning. Entries &gt;24 hours late are marked late; the SAP will state whether late entries remain primary-evaluable (default: no, if either diary was completed after the next night’s sleep_attempt).</w:t>
      </w:r>
    </w:p>
    <w:p>
      <w:pPr>
        <w:pStyle w:val="Heading1"/>
      </w:pPr>
      <w:r>
        <w:t>Endpoints</w:t>
      </w:r>
    </w:p>
    <w:p>
      <w:r>
        <w:t>Purpose: Lock calculated TST as primary, keep the two bedtime clocks separate, and keep item 8 exploratory.</w:t>
      </w:r>
    </w:p>
    <w:p>
      <w:r/>
    </w:p>
    <w:p>
      <w:pPr>
        <w:pStyle w:val="Heading2"/>
      </w:pPr>
      <w:r>
        <w:t>Derived quantities (both diaries, same formula)</w:t>
      </w:r>
    </w:p>
    <w:p>
      <w:pPr/>
      <w:r>
        <w:t>Clocks are datetimes on the diary_date (with previous-calendar-day allowed for in_bed / sleep_attempt). Durations are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 sleep_attempt + SOL</w:t>
      </w:r>
    </w:p>
    <w:p>
      <w:pPr/>
      <w:r>
        <w:t>in_bed and sleep_attempt must not be collapsed. Naps / dozes do not enter nocturnal TST. WASO is the total of awakenings excluding the final wake. Primary TWAK uses out_of_bed − wake, not CSD-M item 6b. Item 6b (twak_try_min) may be used only in a pre-specified sensitivity analysis if collected.</w:t>
      </w:r>
    </w:p>
    <w:p>
      <w:pPr/>
      <w:r>
        <w:t>A primary-evaluable paired morning has, on both diaries: sleep_attempt, SOL, WASO, wake, out_of_bed, all internally consistent (out_of_bed ≥ wake ≥ sleep_attempt; SOL ≥ 0; WASO ≥ 0; TST ≥ 0). in_bed is required for TIB/SE secondary analyses and is still collected every morning.</w:t>
      </w:r>
    </w:p>
    <w:p>
      <w:pPr>
        <w:pStyle w:val="Heading2"/>
      </w:pPr>
      <w:r>
        <w:t>Primary endpoint</w:t>
      </w:r>
    </w:p>
    <w:p>
      <w:pPr/>
      <w:r>
        <w:t>Night-level difference in calculated TST: Lazoo minus CSD-M, minutes. Analysis: Bland–Altman mean bias and 95% limits of agreement, with nights clustered within participant. No diagnostic cut-point. No claim that Lazoo is “valid for insomnia” or any other condition.</w:t>
      </w:r>
    </w:p>
    <w:p>
      <w:pPr>
        <w:pStyle w:val="Heading2"/>
      </w:pPr>
      <w:r>
        <w:t>Secondary endpoints</w:t>
      </w:r>
    </w:p>
    <w:p>
      <w:pPr>
        <w:pStyle w:val="ListBullet"/>
      </w:pPr>
      <w:r>
        <w:t>Same Bland–Altman (and ICC, method in SAP) for SOL, WASO, SE, awakenings_n.</w:t>
      </w:r>
    </w:p>
    <w:p>
      <w:pPr>
        <w:pStyle w:val="ListBullet"/>
      </w:pPr>
      <w:r>
        <w:t>Completeness: proportion of mornings with both diaries; item-level missingness; proportion of participants who are completers (≥10/14 evaluable paired mornings).</w:t>
      </w:r>
    </w:p>
    <w:p>
      <w:pPr>
        <w:pStyle w:val="ListBullet"/>
      </w:pPr>
      <w:r>
        <w:t>Timestamp / audit: proportion of Lazoo entries with client and server timestamps; proportion of edits with who/what/when and original value retained.</w:t>
      </w:r>
    </w:p>
    <w:p>
      <w:pPr>
        <w:pStyle w:val="ListBullet"/>
      </w:pPr>
      <w:r>
        <w:t>SUS total score (0–100); descriptive summaries of the three structured questions.</w:t>
      </w:r>
    </w:p>
    <w:p>
      <w:pPr>
        <w:pStyle w:val="Heading2"/>
      </w:pPr>
      <w:r>
        <w:t>Exploratory</w:t>
      </w:r>
    </w:p>
    <w:p>
      <w:pPr/>
      <w:r>
        <w:t>Calculated TST versus tst_subjective (CSD-M item 8 construct) on each diary; between-diary difference on item 8. Lifestyle text and naps as covariates / descriptors only.</w:t>
      </w:r>
    </w:p>
    <w:p>
      <w:pPr>
        <w:pStyle w:val="Heading2"/>
      </w:pPr>
      <w:r>
        <w:t>Sample size</w:t>
      </w:r>
    </w:p>
    <w:p>
      <w:pPr/>
      <w:r>
        <w:t>Feasibility floor: 30 completers. This is not the final n. The signed SAP will calculate n so that the 95% confidence interval around the TST limits of agreement is usable, with a sleep statistician. Until that SAP is signed, do not describe 30 as a powered Bland–Altman sample.</w:t>
      </w:r>
    </w:p>
    <w:p>
      <w:pPr/>
      <w:r>
        <w:rPr>
          <w:b/>
        </w:rPr>
        <w:t>[GAP] Signed SAP and statistician appointment. 30 completers remains the floor.</w:t>
      </w:r>
    </w:p>
    <w:p>
      <w:pPr>
        <w:pStyle w:val="Heading1"/>
      </w:pPr>
      <w:r>
        <w:t>Safety Reporting</w:t>
      </w:r>
    </w:p>
    <w:p>
      <w:r>
        <w:t>Purpose: Describe proportionate safety for a tracker that does not treat, without inventing a device-vigilance pathway.</w:t>
      </w:r>
    </w:p>
    <w:p>
      <w:r>
        <w:t>Lazoo v1 does not diagnose, predict, treat, or determine management. There is no expected product-related adverse reaction pathway comparable to a CTIMP or a UK MDR investigation.</w:t>
      </w:r>
    </w:p>
    <w:p>
      <w:pPr/>
      <w:r>
        <w:t xml:space="preserve">If a participant reports distress, staff signpost to their GP, NHS 111, or Samaritans (116 123). Do not print Chelsea and Westminster PALS, UCLH PALS, or any other NHS PALS contact on </w:t>
      </w:r>
      <w:r>
        <w:rPr>
          <w:strike/>
        </w:rPr>
        <w:t>App Ltd</w:t>
      </w:r>
      <w:r>
        <w:rPr/>
        <w:t xml:space="preserve"> SHC Sleep Solutions Limited</w:t>
      </w:r>
      <w:r>
        <w:t xml:space="preserve"> participant sheets. Record the signposting on the AE / distress log.</w:t>
      </w:r>
    </w:p>
    <w:p>
      <w:pPr/>
      <w:r>
        <w:t>Adverse events that come to the CI’s attention during consent-to-close-out are recorded (onset, description, outcome, relatedness to study procedures — for example distress while completing diaries — not relatedness to a “diagnostic output”, which does not exist). Serious events are notified to the sponsor contact (admin@sleepandhealth.org) within 24 hours of the CI becoming aware, and to REC if the approved PIS/protocol requires it.</w:t>
      </w:r>
    </w:p>
    <w:p>
      <w:pPr/>
      <w:r>
        <w:t>No MHRA device vigilance / manufacturer incident report pathway applies while LAZ-CL-001 holds. If the intended purpose is breached (scores, flags, management recommendations), stop enrolment and reopen classification.</w:t>
      </w:r>
    </w:p>
    <w:p>
      <w:pPr/>
      <w:r>
        <w:t>The app is not an emergency service. PIS will state this in plain language.</w:t>
      </w:r>
    </w:p>
    <w:p>
      <w:pPr>
        <w:pStyle w:val="Heading1"/>
      </w:pPr>
      <w:r>
        <w:t>Data Management</w:t>
      </w:r>
    </w:p>
    <w:p>
      <w:r>
        <w:t>Purpose: Point to the study DMP and lock export, audit-trail, and toggle rules.</w:t>
      </w:r>
    </w:p>
    <w:p>
      <w:r>
        <w:t>Full rules are in LAZ-VAL-001 DMP v0.2. Summary:</w:t>
      </w:r>
    </w:p>
    <w:p>
      <w:pPr>
        <w:pStyle w:val="ListBullet"/>
      </w:pPr>
      <w:r>
        <w:t>Lazoo export: JSON + CSV, raw timestamps, study_link, consent-pack version, app version, OS.</w:t>
      </w:r>
    </w:p>
    <w:p>
      <w:pPr>
        <w:pStyle w:val="ListBullet"/>
      </w:pPr>
      <w:r>
        <w:t>CSD-M: source worksheets retained (if licensed) or construct worksheets; double-entered or photographed with a file log.</w:t>
      </w:r>
    </w:p>
    <w:p>
      <w:pPr>
        <w:pStyle w:val="ListBullet"/>
      </w:pPr>
      <w:r>
        <w:t>Pairing key: participant ID + diary_date.</w:t>
      </w:r>
    </w:p>
    <w:p>
      <w:pPr>
        <w:pStyle w:val="ListBullet"/>
      </w:pPr>
      <w:r>
        <w:t>Lazoo edits: append-only audit trail (who / what / when); original value retained.</w:t>
      </w:r>
    </w:p>
    <w:p>
      <w:pPr>
        <w:pStyle w:val="ListBullet"/>
      </w:pPr>
      <w:r>
        <w:t xml:space="preserve">Identifiable files on </w:t>
      </w:r>
      <w:r>
        <w:rPr>
          <w:strike/>
        </w:rPr>
        <w:t>App Ltd</w:t>
      </w:r>
      <w:r>
        <w:rPr/>
        <w:t xml:space="preserve"> SHC Sleep Solutions Limited</w:t>
      </w:r>
      <w:r>
        <w:t>-controlled storage. Analysis file pseudonymised.</w:t>
      </w:r>
    </w:p>
    <w:p>
      <w:pPr>
        <w:pStyle w:val="ListBullet"/>
      </w:pPr>
      <w:r>
        <w:t>VAL-001 default consents: toggles 1 and 3 only. Toggle 4 off unless the CI adds it by amendment. No training of a future model on these data without toggle 4 and a protocol that says so.</w:t>
      </w:r>
    </w:p>
    <w:p>
      <w:pPr>
        <w:pStyle w:val="ListBullet"/>
      </w:pPr>
      <w:r>
        <w:t>Do not send participant-identifiable exports by open email.</w:t>
      </w:r>
    </w:p>
    <w:p>
      <w:pPr/>
      <w:r>
        <w:t xml:space="preserve">Data controller for this study: </w:t>
      </w:r>
      <w:r>
        <w:rPr>
          <w:strike/>
        </w:rPr>
        <w:t>Sleep and Health Clinic App Ltd</w:t>
      </w:r>
      <w:r>
        <w:rPr/>
        <w:t xml:space="preserve"> SHC Sleep Solutions Limited</w:t>
      </w:r>
      <w:r>
        <w:t>. Sleep &amp; Health Clinic Ltd is not the controller by virtue of sharing an address.</w:t>
      </w:r>
    </w:p>
    <w:p>
      <w:pPr>
        <w:pStyle w:val="Heading1"/>
      </w:pPr>
      <w:r>
        <w:t>Statistical Analysis Plan</w:t>
      </w:r>
    </w:p>
    <w:p>
      <w:r>
        <w:t>Purpose: State the analysis skeleton and the sample-size floor, and leave precision calculations to a signed SAP.</w:t>
      </w:r>
    </w:p>
    <w:p>
      <w:r>
        <w:t>A separate signed SAP will be filed before database lock and, for IRAS, before submission. Until then, the following is binding enough to design the CRF and DMP, but not a substitute for the SAP.</w:t>
      </w:r>
    </w:p>
    <w:p>
      <w:pPr>
        <w:pStyle w:val="ListBullet"/>
      </w:pPr>
      <w:r>
        <w:t>Analysis populations: (i) all consented; (ii) completers (≥10/14 evaluable paired mornings) — feasibility population; (iii) all evaluable paired mornings.</w:t>
      </w:r>
    </w:p>
    <w:p>
      <w:pPr>
        <w:pStyle w:val="ListBullet"/>
      </w:pPr>
      <w:r>
        <w:t>Primary: Bland–Altman of night-level calculated TST (Lazoo − CSD-M). Report mean bias, SD of differences, 95% limits of agreement. Clustering of nights within person will be handled by a method named in the SAP (for example Bland and Altman 2007 repeated-measures limits, or a mixed-effects residual SD).</w:t>
      </w:r>
    </w:p>
    <w:p>
      <w:pPr>
        <w:pStyle w:val="ListBullet"/>
      </w:pPr>
      <w:r>
        <w:t>Secondary agreement: same approach for SOL, WASO, SE, awakenings_n; ICC for absolute agreement, specification in SAP.</w:t>
      </w:r>
    </w:p>
    <w:p>
      <w:pPr>
        <w:pStyle w:val="ListBullet"/>
      </w:pPr>
      <w:r>
        <w:t>Completeness, timestamps, SUS: descriptive. No multiplicity adjustment for this feasibility / agreement design unless the SAP adds one.</w:t>
      </w:r>
    </w:p>
    <w:p>
      <w:pPr>
        <w:pStyle w:val="ListBullet"/>
      </w:pPr>
      <w:r>
        <w:t>Missing data: primary on evaluable paired mornings. No imputation of clocks for the primary analysis unless the SAP defines a rule.</w:t>
      </w:r>
    </w:p>
    <w:p>
      <w:pPr>
        <w:pStyle w:val="ListBullet"/>
      </w:pPr>
      <w:r>
        <w:t>No diagnostic cut-points, ROC curves, or “validated to detect insomnia” analyses.</w:t>
      </w:r>
    </w:p>
    <w:p>
      <w:pPr>
        <w:pStyle w:val="ListBullet"/>
      </w:pPr>
      <w:r>
        <w:t>Software: to be named in the SAP.</w:t>
      </w:r>
    </w:p>
    <w:p>
      <w:pPr/>
      <w:r>
        <w:rPr>
          <w:b/>
        </w:rPr>
        <w:t>[GAP] Statistician not appointed. Final n not calculated. Do not submit IRAS on the floor of 30 completers as if it were a precision-based sample size.</w:t>
      </w:r>
    </w:p>
    <w:p>
      <w:pPr>
        <w:pStyle w:val="Heading1"/>
      </w:pPr>
      <w:r>
        <w:t>Ethics and Regulatory Considerations</w:t>
      </w:r>
    </w:p>
    <w:p>
      <w:r>
        <w:t>Purpose: Set REC, HRA, MHRA, and indemnity boundaries honestly.</w:t>
      </w:r>
    </w:p>
    <w:p>
      <w:r/>
    </w:p>
    <w:p>
      <w:pPr>
        <w:pStyle w:val="IntenseQuote"/>
      </w:pPr>
      <w:r>
        <w:t>The SHC Digital Sleep Diary (Lazoo) is intended to record and display a person's self-reported sleep and lifestyle information for their own review and, if they choose, to share with a clinician. It does not diagnose, predict, treat, or determine the management of any medical condition.</w:t>
      </w:r>
    </w:p>
    <w:p>
      <w:pPr>
        <w:pStyle w:val="ListBullet"/>
      </w:pPr>
      <w:r>
        <w:t>This is research (generalisable knowledge about diary agreement and usability). REC review is required before first participant. [GAP] Not submitted. No IRAS ID. No REC favourable opinion.</w:t>
      </w:r>
    </w:p>
    <w:p>
      <w:pPr>
        <w:pStyle w:val="ListBullet"/>
      </w:pPr>
      <w:r>
        <w:t>Not a CTIMP. No MHRA CTA.</w:t>
      </w:r>
    </w:p>
    <w:p>
      <w:pPr>
        <w:pStyle w:val="ListBullet"/>
      </w:pPr>
      <w:r>
        <w:t>Not a UK MDR clinical investigation on the locked intended purpose. No MHRA device notification for this protocol.</w:t>
      </w:r>
    </w:p>
    <w:p>
      <w:pPr>
        <w:pStyle w:val="ListBullet"/>
      </w:pPr>
      <w:r>
        <w:t>HRA Approval: not applicable unless an NHS organisation is added as a research site.</w:t>
      </w:r>
    </w:p>
    <w:p>
      <w:pPr>
        <w:pStyle w:val="ListBullet"/>
      </w:pPr>
      <w:r>
        <w:t>HRA transparency: register before first participant (ISRCTN or OSF). [GAP] Not registered.</w:t>
      </w:r>
    </w:p>
    <w:p>
      <w:pPr>
        <w:pStyle w:val="ListBullet"/>
      </w:pPr>
      <w:r>
        <w:t xml:space="preserve">Insurance / indemnity: [GAP] </w:t>
      </w:r>
      <w:r>
        <w:rPr>
          <w:strike/>
        </w:rPr>
        <w:t xml:space="preserve">App Ltd</w:t>
      </w:r>
      <w:r>
        <w:rPr/>
        <w:t xml:space="preserve"> SHC Sleep Solutions Limited</w:t>
      </w:r>
      <w:r>
        <w:t xml:space="preserve"> research certificate covering this protocol is not on file. Do not enrol. Clinical indemnity of Sleep &amp; Health Clinic Ltd (CQC clinic) is a different company and is not assumed to cover </w:t>
      </w:r>
      <w:r>
        <w:rPr>
          <w:strike/>
        </w:rPr>
        <w:t>App Ltd</w:t>
      </w:r>
      <w:r>
        <w:rPr/>
        <w:t xml:space="preserve"> SHC Sleep Solutions Limited</w:t>
      </w:r>
      <w:r>
        <w:t xml:space="preserve"> research.</w:t>
      </w:r>
    </w:p>
    <w:p>
      <w:pPr>
        <w:pStyle w:val="ListBullet"/>
      </w:pPr>
      <w:r>
        <w:t>Participant-facing contact: admin@sleepandhealth.org. Do not use a personal Gmail. Do not use Chelsea PALS or UCLH PALS on these sheets.</w:t>
      </w:r>
    </w:p>
    <w:p>
      <w:pPr>
        <w:pStyle w:val="ListBullet"/>
      </w:pPr>
      <w:r>
        <w:t>Consent toggles as LAZ-TPL-CONSENT. VAL-001 requires 1 and 3. Toggle 4 default off.</w:t>
      </w:r>
    </w:p>
    <w:p>
      <w:pPr>
        <w:pStyle w:val="ListBullet"/>
      </w:pPr>
      <w:r>
        <w:t>Separate UCLH-sponsored feasibility (n=50, 14 days, PI McNeillis) is not this study. Do not file its PIS or consent into this TMF.</w:t>
      </w:r>
    </w:p>
    <w:p>
      <w:pPr/>
      <w:r>
        <w:t>UK Policy Framework for Health and Social Care Research applies. ICH E6 R3 is used as good practice for essential records; this is not a CTIMP TMF clock.</w:t>
      </w:r>
    </w:p>
    <w:p>
      <w:pPr>
        <w:pStyle w:val="Heading1"/>
      </w:pPr>
      <w:r>
        <w:t>Patient and Public Involvement</w:t>
      </w:r>
    </w:p>
    <w:p>
      <w:r>
        <w:t>Purpose: Record PPI honestly; do not invent a panel.</w:t>
      </w:r>
    </w:p>
    <w:p>
      <w:r/>
    </w:p>
    <w:p>
      <w:pPr/>
      <w:r>
        <w:rPr>
          <w:b/>
        </w:rPr>
        <w:t>[GAP] No PPI activity has been completed for LAZ-VAL-001 as of 28 August 2026.</w:t>
      </w:r>
    </w:p>
    <w:p>
      <w:pPr/>
      <w:r>
        <w:t>Before IRAS, the CI should record whether invited users of the restricted app, or a small group of adults who keep sleep diaries, have commented on burden (two diaries for 14 mornings), the intended-purpose sentence, and the signposting text. If none is done, IRAS should say so rather than claim involvement. PPI will not be asked to endorse diagnostic claims the product does not make.</w:t>
      </w:r>
    </w:p>
    <w:p>
      <w:pPr>
        <w:pStyle w:val="Heading1"/>
      </w:pPr>
      <w:r>
        <w:t>Quality Assurance and Monitoring</w:t>
      </w:r>
    </w:p>
    <w:p>
      <w:r>
        <w:t>Purpose: Describe proportionate monitoring for a non-CTIMP tracker study.</w:t>
      </w:r>
    </w:p>
    <w:p>
      <w:r>
        <w:t>Sponsor quality is proportionate to risk. A separate monitoring plan (SHA shell) is not filled in this pass; minimum for VAL-001:</w:t>
      </w:r>
    </w:p>
    <w:p>
      <w:pPr>
        <w:pStyle w:val="ListBullet"/>
      </w:pPr>
      <w:r>
        <w:t>CI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if n stays at the floor of 30 completers, unless the monitoring plan says otherwise).</w:t>
      </w:r>
    </w:p>
    <w:p>
      <w:pPr>
        <w:pStyle w:val="ListBullet"/>
      </w:pPr>
      <w:r>
        <w:t>Confirmation that Lazoo exports contain raw timestamps and an audit trail for any edited field.</w:t>
      </w:r>
    </w:p>
    <w:p>
      <w:pPr>
        <w:pStyle w:val="ListBullet"/>
      </w:pPr>
      <w:r>
        <w:t>Deviation log in the study folder.</w:t>
      </w:r>
    </w:p>
    <w:p>
      <w:pPr>
        <w:pStyle w:val="ListBullet"/>
      </w:pPr>
      <w:r>
        <w:t>No monitoring of “diagnostic accuracy”.</w:t>
      </w:r>
    </w:p>
    <w:p>
      <w:pPr/>
      <w:r>
        <w:t>Central monitoring of completeness can be run from the pairing log without site visits while the default setting is remote volunteers. If a university licence site is later added, an ISF is opened from the licensee template and the site PI is trained before any study code is issued.</w:t>
      </w:r>
    </w:p>
    <w:p>
      <w:pPr>
        <w:pStyle w:val="Heading1"/>
      </w:pPr>
      <w:r>
        <w:t>Risk Management</w:t>
      </w:r>
    </w:p>
    <w:p>
      <w:r>
        <w:t>Purpose: Name foreseeable harms of two diaries and of a tracker, not device residual-risk tables for SaMD.</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Risk</w:t>
            </w:r>
          </w:p>
        </w:tc>
        <w:tc>
          <w:tcPr>
            <w:tcW w:type="dxa" w:w="4320"/>
            <w:shd w:fill="1F4E79" w:val="clear"/>
          </w:tcPr>
          <w:p>
            <w:r>
              <w:rPr>
                <w:b/>
                <w:color w:val="FFFFFF"/>
                <w:sz w:val="20"/>
              </w:rPr>
              <w:t>Mitigation</w:t>
            </w:r>
          </w:p>
        </w:tc>
      </w:tr>
      <w:tr>
        <w:tc>
          <w:tcPr>
            <w:tcW w:type="dxa" w:w="4320"/>
          </w:tcPr>
          <w:p>
            <w:r>
              <w:rPr>
                <w:sz w:val="18"/>
              </w:rPr>
              <w:t>Burden of two morning diaries</w:t>
            </w:r>
          </w:p>
        </w:tc>
        <w:tc>
          <w:tcPr>
            <w:tcW w:type="dxa" w:w="4320"/>
          </w:tcPr>
          <w:p>
            <w:r>
              <w:rPr>
                <w:sz w:val="18"/>
              </w:rPr>
              <w:t>14 mornings only; training; missed-morning rules; right to withdraw</w:t>
            </w:r>
          </w:p>
        </w:tc>
      </w:tr>
      <w:tr>
        <w:tc>
          <w:tcPr>
            <w:tcW w:type="dxa" w:w="4320"/>
          </w:tcPr>
          <w:p>
            <w:r>
              <w:rPr>
                <w:sz w:val="18"/>
              </w:rPr>
              <w:t>Distress when reflecting on sleep</w:t>
            </w:r>
          </w:p>
        </w:tc>
        <w:tc>
          <w:tcPr>
            <w:tcW w:type="dxa" w:w="4320"/>
          </w:tcPr>
          <w:p>
            <w:r>
              <w:rPr>
                <w:sz w:val="18"/>
              </w:rPr>
              <w:t>Signpost GP / 111 / Samaritans; CI may stop dual diaries; no diagnostic labels from the app</w:t>
            </w:r>
          </w:p>
        </w:tc>
      </w:tr>
      <w:tr>
        <w:tc>
          <w:tcPr>
            <w:tcW w:type="dxa" w:w="4320"/>
          </w:tcPr>
          <w:p>
            <w:r>
              <w:rPr>
                <w:sz w:val="18"/>
              </w:rPr>
              <w:t>Lazoo read as a medical device</w:t>
            </w:r>
          </w:p>
        </w:tc>
        <w:tc>
          <w:tcPr>
            <w:tcW w:type="dxa" w:w="4320"/>
          </w:tcPr>
          <w:p>
            <w:r>
              <w:rPr>
                <w:sz w:val="18"/>
              </w:rPr>
              <w:t>Locked intended-purpose sentence on PIS, consent toggle 1, in-app about screen, and this synopsis; no scores or flags in v1</w:t>
            </w:r>
          </w:p>
        </w:tc>
      </w:tr>
      <w:tr>
        <w:tc>
          <w:tcPr>
            <w:tcW w:type="dxa" w:w="4320"/>
          </w:tcPr>
          <w:p>
            <w:r>
              <w:rPr>
                <w:sz w:val="18"/>
              </w:rPr>
              <w:t>Comparator copyright breach</w:t>
            </w:r>
          </w:p>
        </w:tc>
        <w:tc>
          <w:tcPr>
            <w:tcW w:type="dxa" w:w="4320"/>
          </w:tcPr>
          <w:p>
            <w:r>
              <w:rPr>
                <w:sz w:val="18"/>
              </w:rPr>
              <w:t>No verbatim CSD-M stems or PDF in TMF/app until Carney industry licence is filed</w:t>
            </w:r>
          </w:p>
        </w:tc>
      </w:tr>
      <w:tr>
        <w:tc>
          <w:tcPr>
            <w:tcW w:type="dxa" w:w="4320"/>
          </w:tcPr>
          <w:p>
            <w:r>
              <w:rPr>
                <w:sz w:val="18"/>
              </w:rPr>
              <w:t>Wrong sponsor / merged UCLH papers</w:t>
            </w:r>
          </w:p>
        </w:tc>
        <w:tc>
          <w:tcPr>
            <w:tcW w:type="dxa" w:w="4320"/>
          </w:tcPr>
          <w:p>
            <w:r>
              <w:rPr>
                <w:sz w:val="18"/>
                <w:strike/>
              </w:rPr>
              <w:t>App Ltd</w:t>
            </w:r>
            <w:r>
              <w:rPr>
                <w:sz w:val="18"/>
              </w:rPr>
              <w:t xml:space="preserve"> SHC Sleep Solutions Limited</w:t>
            </w:r>
            <w:r>
              <w:rPr>
                <w:sz w:val="18"/>
              </w:rPr>
              <w:t xml:space="preserve"> (12467350) only; UCLH feasibility kept in a separate folder</w:t>
            </w:r>
          </w:p>
        </w:tc>
      </w:tr>
      <w:tr>
        <w:tc>
          <w:tcPr>
            <w:tcW w:type="dxa" w:w="4320"/>
          </w:tcPr>
          <w:p>
            <w:r>
              <w:rPr>
                <w:sz w:val="18"/>
              </w:rPr>
              <w:t>NHS data used for model training</w:t>
            </w:r>
          </w:p>
        </w:tc>
        <w:tc>
          <w:tcPr>
            <w:tcW w:type="dxa" w:w="4320"/>
          </w:tcPr>
          <w:p>
            <w:r>
              <w:rPr>
                <w:sz w:val="18"/>
              </w:rPr>
              <w:t>Toggle 4 off; no NHS sites in this version</w:t>
            </w:r>
          </w:p>
        </w:tc>
      </w:tr>
      <w:tr>
        <w:tc>
          <w:tcPr>
            <w:tcW w:type="dxa" w:w="4320"/>
          </w:tcPr>
          <w:p>
            <w:r>
              <w:rPr>
                <w:sz w:val="18"/>
              </w:rPr>
              <w:t>Identifiable data in chat or open email</w:t>
            </w:r>
          </w:p>
        </w:tc>
        <w:tc>
          <w:tcPr>
            <w:tcW w:type="dxa" w:w="4320"/>
          </w:tcPr>
          <w:p>
            <w:r>
              <w:rPr>
                <w:sz w:val="18"/>
              </w:rPr>
              <w:t>Forbidden; DMP storage rules</w:t>
            </w:r>
          </w:p>
        </w:tc>
      </w:tr>
      <w:tr>
        <w:tc>
          <w:tcPr>
            <w:tcW w:type="dxa" w:w="4320"/>
          </w:tcPr>
          <w:p>
            <w:r>
              <w:rPr>
                <w:sz w:val="18"/>
              </w:rPr>
              <w:t>Enrolment without insurance or REC</w:t>
            </w:r>
          </w:p>
        </w:tc>
        <w:tc>
          <w:tcPr>
            <w:tcW w:type="dxa" w:w="4320"/>
          </w:tcPr>
          <w:p>
            <w:r>
              <w:rPr>
                <w:sz w:val="18"/>
              </w:rPr>
              <w:t>Hard stop: [GAP] both outstanding</w:t>
            </w:r>
          </w:p>
        </w:tc>
      </w:tr>
      <w:tr>
        <w:tc>
          <w:tcPr>
            <w:tcW w:type="dxa" w:w="4320"/>
          </w:tcPr>
          <w:p>
            <w:r>
              <w:rPr>
                <w:sz w:val="18"/>
              </w:rPr>
              <w:t>Unlisted-app credentials leaking to a public store</w:t>
            </w:r>
          </w:p>
        </w:tc>
        <w:tc>
          <w:tcPr>
            <w:tcW w:type="dxa" w:w="4320"/>
          </w:tcPr>
          <w:p>
            <w:r>
              <w:rPr>
                <w:sz w:val="18"/>
              </w:rPr>
              <w:t>Study codes; Unlisted / closed testing only</w:t>
            </w:r>
          </w:p>
        </w:tc>
      </w:tr>
    </w:tbl>
    <w:p>
      <w:pPr/>
      <w:r>
        <w:t>A medical-device risk management file, DHF-as-device, AI validation report, and clinical evaluation report are out of scope and must not be written against v1.</w:t>
      </w:r>
    </w:p>
    <w:p>
      <w:pPr>
        <w:pStyle w:val="Heading1"/>
      </w:pPr>
      <w:r>
        <w:t>Information Governance and GDPR</w:t>
      </w:r>
    </w:p>
    <w:p>
      <w:r>
        <w:t>Purpose: Name the controller, lawful basis intent, and what is not yet in place.</w:t>
      </w:r>
    </w:p>
    <w:p>
      <w:r>
        <w:t xml:space="preserve">Controller: </w:t>
      </w:r>
      <w:r>
        <w:rPr>
          <w:strike/>
        </w:rPr>
        <w:t>Sleep and Health Clinic App Ltd</w:t>
      </w:r>
      <w:r>
        <w:rPr/>
        <w:t xml:space="preserve"> SHC Sleep Solutions Limited</w:t>
      </w:r>
      <w:r>
        <w:t xml:space="preserve"> (12467350). Processor roles (app hosting, transcription) to be listed in the DMP when vendors are contracted.</w:t>
      </w:r>
    </w:p>
    <w:p>
      <w:pPr/>
      <w:r>
        <w:t>Lawful basis (research): UK GDPR Article 6(1)(e) public task is not assumed for a private company; default intent is Article 6(1)(a) consent for the research copy (toggle 3), with Article 9(2)(a) explicit consent if special-category data are present. Sleep diary content may be special-category health data even though the app does not diagnose. Final basis to be confirmed in the DPIA.</w:t>
      </w:r>
    </w:p>
    <w:p>
      <w:pPr/>
      <w:r>
        <w:rPr>
          <w:b/>
        </w:rPr>
        <w:t>[GAP] DPIA is a placeholder. DPO / Caldicott equivalent not named. Do not export identifiable research data until the DPIA is signed.</w:t>
      </w:r>
    </w:p>
    <w:p>
      <w:pPr/>
      <w:r>
        <w:t>Rights: access, rectification, withdrawal of toggle 3 (stops future research use; data already in a locked analysis set may not be pulled back — PIS must say this). Retention in the DMP (default 10 years after signed study report).</w:t>
      </w:r>
    </w:p>
    <w:p>
      <w:pPr/>
      <w:r>
        <w:t>Transfers: no transfer outside the UK without a documented mechanism. Default storage: UK.</w:t>
      </w:r>
    </w:p>
    <w:p>
      <w:pPr/>
      <w:r>
        <w:t>NHS-identifiable data are not collected under this version.</w:t>
      </w:r>
    </w:p>
    <w:p>
      <w:pPr>
        <w:pStyle w:val="Heading1"/>
      </w:pPr>
      <w:r>
        <w:t>Intellectual Property</w:t>
      </w:r>
    </w:p>
    <w:p>
      <w:r>
        <w:t xml:space="preserve">Purpose: Keep </w:t>
      </w:r>
      <w:r>
        <w:rPr>
          <w:strike/>
        </w:rPr>
        <w:t>App Ltd</w:t>
      </w:r>
      <w:r>
        <w:rPr/>
        <w:t xml:space="preserve"> SHC Sleep Solutions Limited</w:t>
      </w:r>
      <w:r>
        <w:t xml:space="preserve"> ownership of the protocol, app, and study dataset.</w:t>
      </w:r>
    </w:p>
    <w:p>
      <w:r>
        <w:rPr>
          <w:strike/>
        </w:rPr>
        <w:t>Sleep and Health Clinic App Ltd</w:t>
      </w:r>
      <w:r>
        <w:rPr/>
        <w:t xml:space="preserve"> SHC Sleep Solutions Limited</w:t>
      </w:r>
      <w:r>
        <w:t xml:space="preserve"> owns the protocol, the app, and the study dataset. Investigators may publish the validation results. University use, if a licence is later executed, is by research licence, not joint venture, and does not transfer ownership of the app or the dataset (mCIA or equivalent before any university or NHS work).</w:t>
      </w:r>
    </w:p>
    <w:p>
      <w:pPr/>
      <w:r>
        <w:t>CSD-M remains the copyright of Dr Colleen Carney and co-authors; a licence is a permission to use, not ownership.</w:t>
      </w:r>
    </w:p>
    <w:p>
      <w:pPr/>
      <w:r>
        <w:t>No store listing, clinician pack, or publication may claim that Lazoo is validated to diagnose, predict, treat, or determine management on the back of this study.</w:t>
      </w:r>
    </w:p>
    <w:p>
      <w:pPr>
        <w:pStyle w:val="Heading1"/>
      </w:pPr>
      <w:r>
        <w:t>Dissemination and Publication</w:t>
      </w:r>
    </w:p>
    <w:p>
      <w:r>
        <w:t>Purpose: Plan transparent reporting without SaMD or diagnostic claims.</w:t>
      </w:r>
    </w:p>
    <w:p>
      <w:r>
        <w:t>Register before first participant. Report completer rates, Bland–Altman plots for calculated TST, and SUS. Use British spelling. Do not title the paper as a diagnostic-accuracy study.</w:t>
      </w:r>
    </w:p>
    <w:p>
      <w:pPr/>
      <w:r>
        <w:t>Authorship: ICMJE. CI last or corresponding as agreed. Sponsor review of the manuscript is for intended-purpose wording and confidential IP, not for suppressing negative agreement results.</w:t>
      </w:r>
    </w:p>
    <w:p>
      <w:pPr/>
      <w:r>
        <w:t>Lay summary: the app recorded sleep information; this study compared it with a standard paper morning diary; it does not diagnose.</w:t>
      </w:r>
    </w:p>
    <w:p>
      <w:pPr>
        <w:pStyle w:val="Heading1"/>
      </w:pPr>
      <w:r>
        <w:t>Study Management</w:t>
      </w:r>
    </w:p>
    <w:p>
      <w:r>
        <w:t>Purpose: Name the sponsor team and what is still vacant.</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Role</w:t>
            </w:r>
          </w:p>
        </w:tc>
        <w:tc>
          <w:tcPr>
            <w:tcW w:type="dxa" w:w="4320"/>
            <w:shd w:fill="1F4E79" w:val="clear"/>
          </w:tcPr>
          <w:p>
            <w:r>
              <w:rPr>
                <w:b/>
                <w:color w:val="FFFFFF"/>
                <w:sz w:val="20"/>
              </w:rPr>
              <w:t>Record</w:t>
            </w:r>
          </w:p>
        </w:tc>
      </w:tr>
      <w:tr>
        <w:tc>
          <w:tcPr>
            <w:tcW w:type="dxa" w:w="4320"/>
          </w:tcPr>
          <w:p>
            <w:r>
              <w:rPr>
                <w:sz w:val="18"/>
              </w:rPr>
              <w:t>Sponsor</w:t>
            </w:r>
          </w:p>
        </w:tc>
        <w:tc>
          <w:tcPr>
            <w:tcW w:type="dxa" w:w="4320"/>
          </w:tcPr>
          <w:p>
            <w:r>
              <w:rPr>
                <w:sz w:val="18"/>
                <w:strike/>
              </w:rPr>
              <w:t>Sleep and Health Clinic App Ltd</w:t>
            </w:r>
            <w:r>
              <w:rPr>
                <w:sz w:val="18"/>
              </w:rPr>
              <w:t xml:space="preserve"> SHC Sleep Solutions Limited</w:t>
            </w:r>
            <w:r>
              <w:rPr>
                <w:sz w:val="18"/>
              </w:rPr>
              <w:t xml:space="preserve"> (12467350), 32 Watford Road, Northwood HA6 3NT</w:t>
            </w:r>
          </w:p>
        </w:tc>
      </w:tr>
      <w:tr>
        <w:tc>
          <w:tcPr>
            <w:tcW w:type="dxa" w:w="4320"/>
          </w:tcPr>
          <w:p>
            <w:r>
              <w:rPr>
                <w:sz w:val="18"/>
              </w:rPr>
              <w:t>Sponsor research contact</w:t>
            </w:r>
          </w:p>
        </w:tc>
        <w:tc>
          <w:tcPr>
            <w:tcW w:type="dxa" w:w="4320"/>
          </w:tcPr>
          <w:p>
            <w:r>
              <w:rPr>
                <w:sz w:val="18"/>
              </w:rPr>
              <w:t>admin@sleepandhealth.org</w:t>
            </w:r>
          </w:p>
        </w:tc>
      </w:tr>
      <w:tr>
        <w:tc>
          <w:tcPr>
            <w:tcW w:type="dxa" w:w="4320"/>
          </w:tcPr>
          <w:p>
            <w:r>
              <w:rPr>
                <w:sz w:val="18"/>
              </w:rPr>
              <w:t>Chief Investigator (proposed)</w:t>
            </w:r>
          </w:p>
        </w:tc>
        <w:tc>
          <w:tcPr>
            <w:tcW w:type="dxa" w:w="4320"/>
          </w:tcPr>
          <w:p>
            <w:r>
              <w:rPr>
                <w:sz w:val="18"/>
              </w:rPr>
              <w:t>Dr Sara McNeillis, GMC 4118686</w:t>
            </w:r>
          </w:p>
        </w:tc>
      </w:tr>
      <w:tr>
        <w:tc>
          <w:tcPr>
            <w:tcW w:type="dxa" w:w="4320"/>
          </w:tcPr>
          <w:p>
            <w:r>
              <w:rPr>
                <w:sz w:val="18"/>
              </w:rPr>
              <w:t>CMF / protocol drafting</w:t>
            </w:r>
          </w:p>
        </w:tc>
        <w:tc>
          <w:tcPr>
            <w:tcW w:type="dxa" w:w="4320"/>
          </w:tcPr>
          <w:p>
            <w:r>
              <w:rPr>
                <w:sz w:val="18"/>
              </w:rPr>
              <w:t>Clinical research assistant (delegation log)</w:t>
            </w:r>
          </w:p>
        </w:tc>
      </w:tr>
      <w:tr>
        <w:tc>
          <w:tcPr>
            <w:tcW w:type="dxa" w:w="4320"/>
          </w:tcPr>
          <w:p>
            <w:r>
              <w:rPr>
                <w:sz w:val="18"/>
              </w:rPr>
              <w:t>Statistician</w:t>
            </w:r>
          </w:p>
        </w:tc>
        <w:tc>
          <w:tcPr>
            <w:tcW w:type="dxa" w:w="4320"/>
          </w:tcPr>
          <w:p>
            <w:r>
              <w:rPr>
                <w:sz w:val="18"/>
              </w:rPr>
              <w:t>[GAP] Not appointed</w:t>
            </w:r>
          </w:p>
        </w:tc>
      </w:tr>
      <w:tr>
        <w:tc>
          <w:tcPr>
            <w:tcW w:type="dxa" w:w="4320"/>
          </w:tcPr>
          <w:p>
            <w:r>
              <w:rPr>
                <w:sz w:val="18"/>
              </w:rPr>
              <w:t>Named archivist</w:t>
            </w:r>
          </w:p>
        </w:tc>
        <w:tc>
          <w:tcPr>
            <w:tcW w:type="dxa" w:w="4320"/>
          </w:tcPr>
          <w:p>
            <w:r>
              <w:rPr>
                <w:sz w:val="18"/>
              </w:rPr>
              <w:t>[GAP] CI until appointed</w:t>
            </w:r>
          </w:p>
        </w:tc>
      </w:tr>
      <w:tr>
        <w:tc>
          <w:tcPr>
            <w:tcW w:type="dxa" w:w="4320"/>
          </w:tcPr>
          <w:p>
            <w:r>
              <w:rPr>
                <w:sz w:val="18"/>
              </w:rPr>
              <w:t>DPO</w:t>
            </w:r>
          </w:p>
        </w:tc>
        <w:tc>
          <w:tcPr>
            <w:tcW w:type="dxa" w:w="4320"/>
          </w:tcPr>
          <w:p>
            <w:r>
              <w:rPr>
                <w:sz w:val="18"/>
              </w:rPr>
              <w:t>[GAP] Not named</w:t>
            </w:r>
          </w:p>
        </w:tc>
      </w:tr>
      <w:tr>
        <w:tc>
          <w:tcPr>
            <w:tcW w:type="dxa" w:w="4320"/>
          </w:tcPr>
          <w:p>
            <w:r>
              <w:rPr>
                <w:sz w:val="18"/>
              </w:rPr>
              <w:t>Site PIs</w:t>
            </w:r>
          </w:p>
        </w:tc>
        <w:tc>
          <w:tcPr>
            <w:tcW w:type="dxa" w:w="4320"/>
          </w:tcPr>
          <w:p>
            <w:r>
              <w:rPr>
                <w:sz w:val="18"/>
              </w:rPr>
              <w:t>None. Licence conversations only: Surrey SSRC (Dijk/Archer); Northumbria NCSR (Ellis); UCL SERL (Dimitriou)</w:t>
            </w:r>
          </w:p>
        </w:tc>
      </w:tr>
    </w:tbl>
    <w:p>
      <w:pPr/>
      <w:r>
        <w:t>Study-specific delegation log to be opened in the LAZ-VAL-001 folder before any identifiable collection. No one collects, exports, or analyses identifiable research data until they are on that log, trained, and this protocol is approved.</w:t>
      </w:r>
    </w:p>
    <w:p>
      <w:pPr/>
      <w:r>
        <w:t>Trial management group: CI + CMF manager, with statistician when appointed. Meetings minuted in 06-correspondence once they occur.</w:t>
      </w:r>
    </w:p>
    <w:p>
      <w:pPr>
        <w:pStyle w:val="Heading1"/>
      </w:pPr>
      <w:r>
        <w:t>Archiving</w:t>
      </w:r>
    </w:p>
    <w:p>
      <w:r>
        <w:t>Purpose: Set retention without applying the CTIMP 25-year clock by default.</w:t>
      </w:r>
    </w:p>
    <w:p>
      <w:r>
        <w:t>Essential records for at least 10 years after the signed study report, or longer if a licence contract, REC, or a later (separate) device file needs it (SOP-CMF-001). This is not a CTIMP statutory TMF clock.</w:t>
      </w:r>
    </w:p>
    <w:p>
      <w:pPr/>
      <w:r>
        <w:t xml:space="preserve">Working CMF is the Lazoo Clinical Master File. Durable copy to </w:t>
      </w:r>
      <w:r>
        <w:rPr>
          <w:strike/>
        </w:rPr>
        <w:t>App Ltd</w:t>
      </w:r>
      <w:r>
        <w:rPr/>
        <w:t xml:space="preserve"> SHC Sleep Solutions Limited</w:t>
      </w:r>
      <w:r>
        <w:t>-controlled storage once authorised. Identifiable participant data are not stored in chat.</w:t>
      </w:r>
    </w:p>
    <w:p>
      <w:pPr/>
      <w:r>
        <w:t>Access: CI, named archivist, CMF manager, sponsor auditors, and REC on request. Licence-site staff would see only their ISF.</w:t>
      </w:r>
    </w:p>
    <w:p>
      <w:pPr/>
      <w:r>
        <w:t>If a later SaMD product is authorised, freeze a copy of VAL-001 into the layer-2 file rather than rewriting v1 history. Do not archive an AI Validation Report or CER against this study — those documents are on hold.</w:t>
      </w:r>
    </w:p>
    <w:p>
      <w:pPr>
        <w:pStyle w:val="Heading1"/>
      </w:pPr>
      <w:r>
        <w:t>References</w:t>
      </w:r>
    </w:p>
    <w:p>
      <w:r>
        <w:t>Purpose: Cite the comparator and scoring papers; do not attach copyrighted instruments.</w:t>
      </w:r>
    </w:p>
    <w:p>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here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pPr/>
      <w:r>
        <w:t>LAZ-IP-001 intended-purpose lock; LAZ-CL-001 classification memo; LAZ-VER-001 version log; LAZ-TPL-DICT data dictionary; LAZ-TPL-CONSENT four toggles; LAZ-VAL-001-MAP construct map — filed in the Lazoo CMF.</w:t>
      </w:r>
    </w:p>
    <w:p>
      <w:pPr>
        <w:pStyle w:val="Heading1"/>
      </w:pPr>
      <w:r>
        <w:t>Appendices</w:t>
      </w:r>
    </w:p>
    <w:p>
      <w:r>
        <w:t>Purpose: List what belongs with this protocol and what must not be filed yet.</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Appendix / related file</w:t>
            </w:r>
          </w:p>
        </w:tc>
        <w:tc>
          <w:tcPr>
            <w:tcW w:type="dxa" w:w="4320"/>
            <w:shd w:fill="1F4E79" w:val="clear"/>
          </w:tcPr>
          <w:p>
            <w:r>
              <w:rPr>
                <w:b/>
                <w:color w:val="FFFFFF"/>
                <w:sz w:val="20"/>
              </w:rPr>
              <w:t>Status 28 August 2026</w:t>
            </w:r>
          </w:p>
        </w:tc>
      </w:tr>
      <w:tr>
        <w:tc>
          <w:tcPr>
            <w:tcW w:type="dxa" w:w="4320"/>
          </w:tcPr>
          <w:p>
            <w:r>
              <w:rPr>
                <w:sz w:val="18"/>
              </w:rPr>
              <w:t>A. Construct map CSD-M ↔ Lazoo (LAZ-VAL-001-MAP)</w:t>
            </w:r>
          </w:p>
        </w:tc>
        <w:tc>
          <w:tcPr>
            <w:tcW w:type="dxa" w:w="4320"/>
          </w:tcPr>
          <w:p>
            <w:r>
              <w:rPr>
                <w:sz w:val="18"/>
              </w:rPr>
              <w:t>Filed as 02-csd-m-field-mapping.md; reproduced in Study Assessments</w:t>
            </w:r>
          </w:p>
        </w:tc>
      </w:tr>
      <w:tr>
        <w:tc>
          <w:tcPr>
            <w:tcW w:type="dxa" w:w="4320"/>
          </w:tcPr>
          <w:p>
            <w:r>
              <w:rPr>
                <w:sz w:val="18"/>
              </w:rPr>
              <w:t>B. CRF v0.2</w:t>
            </w:r>
          </w:p>
        </w:tc>
        <w:tc>
          <w:tcPr>
            <w:tcW w:type="dxa" w:w="4320"/>
          </w:tcPr>
          <w:p>
            <w:r>
              <w:rPr>
                <w:sz w:val="18"/>
              </w:rPr>
              <w:t>Filled companion document</w:t>
            </w:r>
          </w:p>
        </w:tc>
      </w:tr>
      <w:tr>
        <w:tc>
          <w:tcPr>
            <w:tcW w:type="dxa" w:w="4320"/>
          </w:tcPr>
          <w:p>
            <w:r>
              <w:rPr>
                <w:sz w:val="18"/>
              </w:rPr>
              <w:t>C. Data management plan v0.2</w:t>
            </w:r>
          </w:p>
        </w:tc>
        <w:tc>
          <w:tcPr>
            <w:tcW w:type="dxa" w:w="4320"/>
          </w:tcPr>
          <w:p>
            <w:r>
              <w:rPr>
                <w:sz w:val="18"/>
              </w:rPr>
              <w:t>Filled companion document</w:t>
            </w:r>
          </w:p>
        </w:tc>
      </w:tr>
      <w:tr>
        <w:tc>
          <w:tcPr>
            <w:tcW w:type="dxa" w:w="4320"/>
          </w:tcPr>
          <w:p>
            <w:r>
              <w:rPr>
                <w:sz w:val="18"/>
              </w:rPr>
              <w:t>D. PIS / consent (</w:t>
            </w:r>
            <w:r>
              <w:rPr>
                <w:sz w:val="18"/>
                <w:strike/>
              </w:rPr>
              <w:t>App Ltd</w:t>
            </w:r>
            <w:r>
              <w:rPr>
                <w:sz w:val="18"/>
              </w:rPr>
              <w:t xml:space="preserve"> SHC Sleep Solutions Limited</w:t>
            </w:r>
            <w:r>
              <w:rPr>
                <w:sz w:val="18"/>
              </w:rPr>
              <w:t xml:space="preserve"> letterhead, four toggles, admin@sleepandhealth.org)</w:t>
            </w:r>
          </w:p>
        </w:tc>
        <w:tc>
          <w:tcPr>
            <w:tcW w:type="dxa" w:w="4320"/>
          </w:tcPr>
          <w:p>
            <w:r>
              <w:rPr>
                <w:sz w:val="18"/>
              </w:rPr>
              <w:t>[GAP] Study-specific pack not yet written from the template</w:t>
            </w:r>
          </w:p>
        </w:tc>
      </w:tr>
      <w:tr>
        <w:tc>
          <w:tcPr>
            <w:tcW w:type="dxa" w:w="4320"/>
          </w:tcPr>
          <w:p>
            <w:r>
              <w:rPr>
                <w:sz w:val="18"/>
              </w:rPr>
              <w:t>E. Licensed CSD-M PDF / verbatim stems</w:t>
            </w:r>
          </w:p>
        </w:tc>
        <w:tc>
          <w:tcPr>
            <w:tcW w:type="dxa" w:w="4320"/>
          </w:tcPr>
          <w:p>
            <w:r>
              <w:rPr>
                <w:sz w:val="18"/>
              </w:rPr>
              <w:t>[GAP] Do not file until Carney industry licence is on file</w:t>
            </w:r>
          </w:p>
        </w:tc>
      </w:tr>
      <w:tr>
        <w:tc>
          <w:tcPr>
            <w:tcW w:type="dxa" w:w="4320"/>
          </w:tcPr>
          <w:p>
            <w:r>
              <w:rPr>
                <w:sz w:val="18"/>
              </w:rPr>
              <w:t>F. Research insurance certificate</w:t>
            </w:r>
          </w:p>
        </w:tc>
        <w:tc>
          <w:tcPr>
            <w:tcW w:type="dxa" w:w="4320"/>
          </w:tcPr>
          <w:p>
            <w:r>
              <w:rPr>
                <w:sz w:val="18"/>
              </w:rPr>
              <w:t>[GAP] Not on file</w:t>
            </w:r>
          </w:p>
        </w:tc>
      </w:tr>
      <w:tr>
        <w:tc>
          <w:tcPr>
            <w:tcW w:type="dxa" w:w="4320"/>
          </w:tcPr>
          <w:p>
            <w:r>
              <w:rPr>
                <w:sz w:val="18"/>
              </w:rPr>
              <w:t>G. REC favourable opinion and IRAS pack</w:t>
            </w:r>
          </w:p>
        </w:tc>
        <w:tc>
          <w:tcPr>
            <w:tcW w:type="dxa" w:w="4320"/>
          </w:tcPr>
          <w:p>
            <w:r>
              <w:rPr>
                <w:sz w:val="18"/>
              </w:rPr>
              <w:t>[GAP] Not submitted</w:t>
            </w:r>
          </w:p>
        </w:tc>
      </w:tr>
      <w:tr>
        <w:tc>
          <w:tcPr>
            <w:tcW w:type="dxa" w:w="4320"/>
          </w:tcPr>
          <w:p>
            <w:r>
              <w:rPr>
                <w:sz w:val="18"/>
              </w:rPr>
              <w:t>H. Signed SAP</w:t>
            </w:r>
          </w:p>
        </w:tc>
        <w:tc>
          <w:tcPr>
            <w:tcW w:type="dxa" w:w="4320"/>
          </w:tcPr>
          <w:p>
            <w:r>
              <w:rPr>
                <w:sz w:val="18"/>
              </w:rPr>
              <w:t>[GAP] Pending statistician</w:t>
            </w:r>
          </w:p>
        </w:tc>
      </w:tr>
      <w:tr>
        <w:tc>
          <w:tcPr>
            <w:tcW w:type="dxa" w:w="4320"/>
          </w:tcPr>
          <w:p>
            <w:r>
              <w:rPr>
                <w:sz w:val="18"/>
              </w:rPr>
              <w:t>I. DPIA</w:t>
            </w:r>
          </w:p>
        </w:tc>
        <w:tc>
          <w:tcPr>
            <w:tcW w:type="dxa" w:w="4320"/>
          </w:tcPr>
          <w:p>
            <w:r>
              <w:rPr>
                <w:sz w:val="18"/>
              </w:rPr>
              <w:t>[GAP] Placeholder</w:t>
            </w:r>
          </w:p>
        </w:tc>
      </w:tr>
      <w:tr>
        <w:tc>
          <w:tcPr>
            <w:tcW w:type="dxa" w:w="4320"/>
          </w:tcPr>
          <w:p>
            <w:r>
              <w:rPr>
                <w:sz w:val="18"/>
              </w:rPr>
              <w:t>J. App version pin / URS / UAT for intended purpose</w:t>
            </w:r>
          </w:p>
        </w:tc>
        <w:tc>
          <w:tcPr>
            <w:tcW w:type="dxa" w:w="4320"/>
          </w:tcPr>
          <w:p>
            <w:r>
              <w:rPr>
                <w:sz w:val="18"/>
              </w:rPr>
              <w:t>[GAP] Research-ready pin outstanding</w:t>
            </w:r>
          </w:p>
        </w:tc>
      </w:tr>
      <w:tr>
        <w:tc>
          <w:tcPr>
            <w:tcW w:type="dxa" w:w="4320"/>
          </w:tcPr>
          <w:p>
            <w:r>
              <w:rPr>
                <w:sz w:val="18"/>
              </w:rPr>
              <w:t>K. Site research licences / ISF</w:t>
            </w:r>
          </w:p>
        </w:tc>
        <w:tc>
          <w:tcPr>
            <w:tcW w:type="dxa" w:w="4320"/>
          </w:tcPr>
          <w:p>
            <w:r>
              <w:rPr>
                <w:sz w:val="18"/>
              </w:rPr>
              <w:t>None. Conversations only: Surrey SSRC, Northumbria NCSR, UCL SERL</w:t>
            </w:r>
          </w:p>
        </w:tc>
      </w:tr>
      <w:tr>
        <w:tc>
          <w:tcPr>
            <w:tcW w:type="dxa" w:w="4320"/>
          </w:tcPr>
          <w:p>
            <w:r>
              <w:rPr>
                <w:sz w:val="18"/>
              </w:rPr>
              <w:t>AI Validation Report; Clinical Evaluation Report; device technical file</w:t>
            </w:r>
          </w:p>
        </w:tc>
        <w:tc>
          <w:tcPr>
            <w:tcW w:type="dxa" w:w="4320"/>
          </w:tcPr>
          <w:p>
            <w:r>
              <w:rPr>
                <w:sz w:val="18"/>
              </w:rPr>
              <w:t>HOLD. Do not write against v1.</w:t>
            </w:r>
          </w:p>
        </w:tc>
      </w:tr>
      <w:tr>
        <w:tc>
          <w:tcPr>
            <w:tcW w:type="dxa" w:w="4320"/>
          </w:tcPr>
          <w:p>
            <w:r>
              <w:rPr>
                <w:sz w:val="18"/>
              </w:rPr>
              <w:t>UCLH feasibility PIS/consent</w:t>
            </w:r>
          </w:p>
        </w:tc>
        <w:tc>
          <w:tcPr>
            <w:tcW w:type="dxa" w:w="4320"/>
          </w:tcPr>
          <w:p>
            <w:r>
              <w:rPr>
                <w:sz w:val="18"/>
              </w:rPr>
              <w:t>Separate sponsor file. Do not merge.</w:t>
            </w:r>
          </w:p>
        </w:tc>
      </w:tr>
    </w:tbl>
    <w:p>
      <w:pPr/>
      <w:r>
        <w:t>End of protocol LAZ-VAL-001 v0.2 (28 August 2026).</w:t>
      </w:r>
    </w:p>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w:t>
    </w:r>
    <w:r>
      <w:rPr>
        <w:sz w:val="16"/>
        <w:strike/>
      </w:rPr>
      <w:t xml:space="preserve">Sleep and Health Clinic App Ltd</w:t>
    </w:r>
    <w:r>
      <w:rPr>
        <w:sz w:val="16"/>
      </w:rPr>
      <w:t xml:space="preserve"> SHC Sleep Solutions Limited</w:t>
    </w:r>
    <w:r>
      <w:rPr>
        <w:sz w:val="16"/>
      </w:rPr>
      <w:t xml:space="preserve"> (12467350)  |  Confidential  |  p.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protocol v0.2  |  </w:t>
    </w:r>
    <w:r>
      <w:rPr>
        <w:i/>
        <w:sz w:val="16"/>
        <w:strike/>
      </w:rPr>
      <w:t>App Ltd</w:t>
    </w:r>
    <w:r>
      <w:rPr>
        <w:i/>
        <w:sz w:val="16"/>
      </w:rPr>
      <w:t xml:space="preserve"> SHC Sleep Solutions Limited (short form for company number 12467350, renamed 27 October 2026)</w:t>
    </w:r>
    <w:r>
      <w:rPr>
        <w:i/>
        <w:sz w:val="16"/>
      </w:rPr>
      <w:t xml:space="preserve">  |  tracking-only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v0.2</dc:title>
  <dc:subject>Lazoo vs CSD-M: concurrent validity and usability</dc:subject>
  <dc:creator>~~Sleep and Health Clinic App Ltd~~ SHC Sleep Solutions Limited</dc:creator>
  <cp:keywords/>
  <dc:description>Draft 28 August 2026. Not for IRAS. Not CI-signed.</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