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Amendment pending, 24 October 2026: A heart-rate intended-purpose amendment is in draft under LAZ-IP-001-AMD-01 (/workspace/lazoo-cmf/01-product/LAZ-IP-001-AMD-01-heart-rate-2026-10-24.md), awaiting review by Compliance and a decision by Sara McNeillis. The text below is unchanged and remains current until that amendment is approved. Data protection: see LAZ-DPIA-HR-input-2026-10-24 (/workspace/lazoo-cmf/02-governance/LAZ-DPIA-HR-input-2026-10-24.md) and the CBT-14 heart rate data protection impact assessment, owned by Research Governance (path to be added) [CBT-14-HR-DPIA-2026-10-24, version 0.2: /workspace/out/governance-2026-10-24/CBT-14-HR-DPIA-2026-10-24.md, sha256 ba0e21101aaf89547e5ba3959e20a60a4a55eae10db7e34aa6e71f587477cdc5].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w:t>
      </w:r>
      <w:r>
        <w:t xml:space="preserve"> </w:t>
      </w:r>
      <w:r>
        <w:t xml:space="preserve">“path to be added”</w:t>
      </w:r>
      <w:r>
        <w:t xml:space="preserve"> </w:t>
      </w:r>
      <w:r>
        <w:t xml:space="preserve">wording and the version 0.2 citation in the note above are kept as recorded; this path answers them.</w:t>
      </w:r>
    </w:p>
    <w:p>
      <w:pPr>
        <w:pStyle w:val="BodyText"/>
      </w:pPr>
      <w:r>
        <w:t xml:space="preserve">Dated note, 24 October 2026: Sara McNeillis made the decision at 16:03 London time (</w:t>
      </w:r>
      <w:r>
        <w:t xml:space="preserve">“Add heart rate to Lazoo’s intended purpose”</w:t>
      </w:r>
      <w:r>
        <w:t xml:space="preserv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bookmarkStart w:id="39" w:name="X76494c0f9163d480519fc9a77cd8415b4e6107c"/>
    <w:p>
      <w:pPr>
        <w:pStyle w:val="Heading1"/>
      </w:pPr>
      <w:r>
        <w:t xml:space="preserve">Data Management Plan for the Lazoo validation study, version 0.4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LAZ-VAL-001-DMP</w:t>
            </w:r>
          </w:p>
        </w:tc>
      </w:tr>
      <w:tr>
        <w:tc>
          <w:tcPr/>
          <w:p>
            <w:pPr>
              <w:pStyle w:val="Compact"/>
            </w:pPr>
            <w:r>
              <w:rPr>
                <w:b/>
                <w:bCs/>
              </w:rPr>
              <w:t xml:space="preserve">Version</w:t>
            </w:r>
          </w:p>
        </w:tc>
        <w:tc>
          <w:tcPr/>
          <w:p>
            <w:pPr>
              <w:pStyle w:val="Compact"/>
            </w:pPr>
            <w:r>
              <w:t xml:space="preserve">0.4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 and data controller</w:t>
            </w:r>
          </w:p>
        </w:tc>
        <w:tc>
          <w:tcPr/>
          <w:p>
            <w:pPr>
              <w:pStyle w:val="Compact"/>
            </w:pPr>
            <w:r>
              <w:t xml:space="preserve">Sleep and Health Clinic App Ltd (company number 12467350)</w:t>
            </w:r>
          </w:p>
        </w:tc>
      </w:tr>
      <w:tr>
        <w:tc>
          <w:tcPr/>
          <w:p>
            <w:pPr>
              <w:pStyle w:val="Compact"/>
            </w:pPr>
            <w:r>
              <w:rPr>
                <w:b/>
                <w:bCs/>
              </w:rPr>
              <w:t xml:space="preserve">Protocol</w:t>
            </w:r>
          </w:p>
        </w:tc>
        <w:tc>
          <w:tcPr/>
          <w:p>
            <w:pPr>
              <w:pStyle w:val="Compact"/>
            </w:pPr>
            <w:r>
              <w:t xml:space="preserve">LAZ-VAL-001, version 0.5</w:t>
            </w:r>
          </w:p>
        </w:tc>
      </w:tr>
      <w:tr>
        <w:tc>
          <w:tcPr/>
          <w:p>
            <w:pPr>
              <w:pStyle w:val="Compact"/>
            </w:pPr>
            <w:r>
              <w:rPr>
                <w:b/>
                <w:bCs/>
              </w:rPr>
              <w:t xml:space="preserve">Research contact</w:t>
            </w:r>
          </w:p>
        </w:tc>
        <w:tc>
          <w:tcPr/>
          <w:p>
            <w:pPr>
              <w:pStyle w:val="Compact"/>
            </w:pPr>
            <w:r>
              <w:t xml:space="preserve">admin@sleepandhealth.org</w:t>
            </w:r>
          </w:p>
        </w:tc>
      </w:tr>
      <w:tr>
        <w:tc>
          <w:tcPr/>
          <w:p>
            <w:pPr>
              <w:pStyle w:val="Compact"/>
            </w:pPr>
            <w:r>
              <w:rPr>
                <w:b/>
                <w:bCs/>
              </w:rPr>
              <w:t xml:space="preserve">Status</w:t>
            </w:r>
          </w:p>
        </w:tc>
        <w:tc>
          <w:tcPr/>
          <w:p>
            <w:pPr>
              <w:pStyle w:val="Compact"/>
            </w:pPr>
            <w:r>
              <w:t xml:space="preserve">Working draft for sponsor confirmation</w:t>
            </w:r>
          </w:p>
        </w:tc>
      </w:tr>
    </w:tbl>
    <w:bookmarkStart w:id="20"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changes</w:t>
            </w:r>
          </w:p>
        </w:tc>
      </w:tr>
      <w:tr>
        <w:tc>
          <w:tcPr/>
          <w:p>
            <w:pPr>
              <w:pStyle w:val="Compact"/>
            </w:pPr>
            <w:r>
              <w:t xml:space="preserve">0.2</w:t>
            </w:r>
          </w:p>
        </w:tc>
        <w:tc>
          <w:tcPr/>
          <w:p>
            <w:pPr>
              <w:pStyle w:val="Compact"/>
            </w:pPr>
            <w:r>
              <w:t xml:space="preserve">28 August 2026</w:t>
            </w:r>
          </w:p>
        </w:tc>
        <w:tc>
          <w:tcPr/>
          <w:p>
            <w:pPr>
              <w:pStyle w:val="Compact"/>
            </w:pPr>
            <w:r>
              <w:t xml:space="preserve">First plan. Change note of 3 October 2026: the separate later file for the software as a medical device and the instruction to freeze a copy were removed, as there is one product and nothing is frozen; the formulas for total sleep time, sleep onset latency, wake after sleep onset and sleep efficiency were recorded as draft study arithmetic and not as a product claim. Change note of 5 October 2026: classification fixed by Sara McNeillis as MHRA software as a medical device Class IIa (class 2a), one layer only, replacing the Class IIb working position of 3 October 2026; clinical claims, purpose and planning claim slots left for the sponsor to confirm.</w:t>
            </w:r>
          </w:p>
        </w:tc>
      </w:tr>
      <w:tr>
        <w:tc>
          <w:tcPr/>
          <w:p>
            <w:pPr>
              <w:pStyle w:val="Compact"/>
            </w:pPr>
            <w:r>
              <w:t xml:space="preserve">0.3</w:t>
            </w:r>
          </w:p>
        </w:tc>
        <w:tc>
          <w:tcPr/>
          <w:p>
            <w:pPr>
              <w:pStyle w:val="Compact"/>
            </w:pPr>
            <w:r>
              <w:t xml:space="preserve">11 October 2026</w:t>
            </w:r>
          </w:p>
        </w:tc>
        <w:tc>
          <w:tcPr/>
          <w:p>
            <w:pPr>
              <w:pStyle w:val="Compact"/>
            </w:pPr>
            <w:r>
              <w:t xml:space="preserve">Written to match protocol version 0.4. Added the partner site as processor for study data, Prolific as the recruitment route, the rule that identifiable free text stays within Sleep and Health Clinic App Ltd, the rule that any outbound share of study data needs a current data note, and the standard recruitment exclusion wording. Lawful basis aligned with the protocol: legitimate interests proposed, for the Data Protection Officer to confirm.</w:t>
            </w:r>
          </w:p>
        </w:tc>
      </w:tr>
      <w:tr>
        <w:tc>
          <w:tcPr/>
          <w:p>
            <w:pPr>
              <w:pStyle w:val="Compact"/>
            </w:pPr>
            <w:r>
              <w:t xml:space="preserve">0.4</w:t>
            </w:r>
          </w:p>
        </w:tc>
        <w:tc>
          <w:tcPr/>
          <w:p>
            <w:pPr>
              <w:pStyle w:val="Compact"/>
            </w:pPr>
            <w:r>
              <w:t xml:space="preserve">12 October 2026</w:t>
            </w:r>
          </w:p>
        </w:tc>
        <w:tc>
          <w:tcPr/>
          <w:p>
            <w:pPr>
              <w:pStyle w:val="Compact"/>
            </w:pPr>
            <w:r>
              <w:t xml:space="preserve">Written to match protocol version 0.5. UCLH named as the intended partner site and processor, still to be confirmed. Prolific confirmed as the only recruitment route. Pregnancy exclusion added. Actigraphy not included. Sponsor-owned items before the Chief Investigator signs listed.</w:t>
            </w:r>
          </w:p>
        </w:tc>
      </w:tr>
      <w:tr>
        <w:tc>
          <w:tcPr/>
          <w:p>
            <w:pPr>
              <w:pStyle w:val="Compact"/>
            </w:pPr>
            <w:r>
              <w:t xml:space="preserve">0.4, scope update</w:t>
            </w:r>
          </w:p>
        </w:tc>
        <w:tc>
          <w:tcPr/>
          <w:p>
            <w:pPr>
              <w:pStyle w:val="Compact"/>
            </w:pPr>
            <w:r>
              <w:t xml:space="preserve">13 October 2026</w:t>
            </w:r>
          </w:p>
        </w:tc>
        <w:tc>
          <w:tcPr/>
          <w:p>
            <w:pPr>
              <w:pStyle w:val="Compact"/>
            </w:pPr>
            <w:r>
              <w:t xml:space="preserve">Sponsor decided that Lazoo’s intended purpose is insomnia monitoring only and that the study tests monitoring only; the alternative of diagnosis and monitoring removed. Obstructive sleep apnoea kept separate from insomnia and outside the study. Lazoo may be used in pregnancy; pregnancy excluded from this validation study because use in pregnancy will be evaluated in a separate, dedicated study later.</w:t>
            </w:r>
          </w:p>
        </w:tc>
      </w:tr>
      <w:tr>
        <w:tc>
          <w:tcPr/>
          <w:p>
            <w:pPr>
              <w:pStyle w:val="Compact"/>
            </w:pPr>
            <w:r>
              <w:t xml:space="preserve">0.4, heart rate addition</w:t>
            </w:r>
          </w:p>
        </w:tc>
        <w:tc>
          <w:tcPr/>
          <w:p>
            <w:pPr>
              <w:pStyle w:val="Compact"/>
            </w:pPr>
            <w:r>
              <w:t xml:space="preserve">24 October 2026</w:t>
            </w:r>
          </w:p>
        </w:tc>
        <w:tc>
          <w:tcPr/>
          <w:p>
            <w:pPr>
              <w:pStyle w:val="Compact"/>
            </w:pPr>
            <w:r>
              <w:t xml:space="preserve">Dated addition inserted after the proposed lawful basis: heart rate product processing under Article 6(1)(a) with Article 9(2)(a), the UK GDPR Articles 84A to 84D safeguards, LAZ-VAL-001 collects no heart rate, and a citation of CBT-14-HR-DPIA-2026-10-24, version 0.2. Version number unchanged; no existing text altered.</w:t>
            </w:r>
          </w:p>
        </w:tc>
      </w:tr>
    </w:tbl>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The version 0.2 citation in the history row above is kept as recorded.</w:t>
      </w:r>
    </w:p>
    <w:p>
      <w:pPr>
        <w:pStyle w:val="BodyText"/>
      </w:pPr>
      <w:r>
        <w:t xml:space="preserve">Versions 0.2 and 0.3 are superseded and kept on file.</w:t>
      </w:r>
    </w:p>
    <w:bookmarkEnd w:id="20"/>
    <w:bookmarkStart w:id="21" w:name="introduction-and-scope"/>
    <w:p>
      <w:pPr>
        <w:pStyle w:val="Heading2"/>
      </w:pPr>
      <w:r>
        <w:t xml:space="preserve">1. Introduction and scope</w:t>
      </w:r>
    </w:p>
    <w:p>
      <w:pPr>
        <w:pStyle w:val="FirstParagraph"/>
      </w:pPr>
      <w:r>
        <w:t xml:space="preserve">This plan is a companion to the study protocol (version 0.5) and the case report form (version 0.3). It describes how data for the validation study are collected, stored, checked, protected, retained and eventually destroyed. It covers the management of study data only and is not a plan for training artificial intelligence.</w:t>
      </w:r>
    </w:p>
    <w:p>
      <w:pPr>
        <w:pStyle w:val="BodyText"/>
      </w:pPr>
      <w:r>
        <w:t xml:space="preserve">The intended purpose of Lazoo is insomnia monitoring only, as decided by the sponsor on 13 October 2026, and the study tests monitoring only. It measures no diagnostic accuracy, and obstructive sleep apnoea stays separate from insomnia and outside the study. Lazoo may be used in pregnancy, as confirmed on 13 October 2026; pregnancy is excluded from this validation study because use in pregnancy will be evaluated in a separate, dedicated study later (sponsor decision, 13 October 2026).</w:t>
      </w:r>
    </w:p>
    <w:p>
      <w:pPr>
        <w:pStyle w:val="BodyText"/>
      </w:pPr>
      <w:r>
        <w:t xml:space="preserve">Consent choice 4 (future clinical tools or models) is off for the default study population. The artificial intelligence validation report and the clinical evaluation report are on hold, and neither will be written from these data.</w:t>
      </w:r>
    </w:p>
    <w:p>
      <w:pPr>
        <w:pStyle w:val="BodyText"/>
      </w:pPr>
      <w:r>
        <w:t xml:space="preserve">Before the Chief Investigator signs the protocol,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(DPIA), and a recorded decision under regulation 16 of the UK Medical Devices Regulations 2002.</w:t>
      </w:r>
    </w:p>
    <w:bookmarkEnd w:id="21"/>
    <w:bookmarkStart w:id="22" w:name="roles-and-responsibilities-for-data"/>
    <w:p>
      <w:pPr>
        <w:pStyle w:val="Heading2"/>
      </w:pPr>
      <w:r>
        <w:t xml:space="preserve">2. Roles and responsibilities for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 for data</w:t>
            </w:r>
          </w:p>
        </w:tc>
      </w:tr>
      <w:tr>
        <w:tc>
          <w:tcPr/>
          <w:p>
            <w:pPr>
              <w:pStyle w:val="Compact"/>
            </w:pPr>
            <w:r>
              <w:t xml:space="preserve">Sponsor and controller: Sleep and Health Clinic App Ltd</w:t>
            </w:r>
          </w:p>
        </w:tc>
        <w:tc>
          <w:tcPr/>
          <w:p>
            <w:pPr>
              <w:pStyle w:val="Compact"/>
            </w:pPr>
            <w:r>
              <w:t xml:space="preserve">Controller for all study data; authorises storage, processors and outbound data notes</w:t>
            </w:r>
          </w:p>
        </w:tc>
      </w:tr>
      <w:tr>
        <w:tc>
          <w:tcPr/>
          <w:p>
            <w:pPr>
              <w:pStyle w:val="Compact"/>
            </w:pPr>
            <w:r>
              <w:t xml:space="preserve">Chief Investigator (proposed): Dr Sara McNeillis</w:t>
            </w:r>
          </w:p>
        </w:tc>
        <w:tc>
          <w:tcPr/>
          <w:p>
            <w:pPr>
              <w:pStyle w:val="Compact"/>
            </w:pPr>
            <w:r>
              <w:t xml:space="preserve">Oversees collection, pairing logs, export receipts and database lock; holds the archivist duty until an archivist is named</w:t>
            </w:r>
          </w:p>
        </w:tc>
      </w:tr>
      <w:tr>
        <w:tc>
          <w:tcPr/>
          <w:p>
            <w:pPr>
              <w:pStyle w:val="Compact"/>
            </w:pPr>
            <w:r>
              <w:t xml:space="preserve">Data manager</w:t>
            </w:r>
          </w:p>
        </w:tc>
        <w:tc>
          <w:tcPr/>
          <w:p>
            <w:pPr>
              <w:pStyle w:val="Compact"/>
            </w:pPr>
            <w:r>
              <w:t xml:space="preserve">[PLACEHOLDER: data manager, not yet named]; co-signs database lock</w:t>
            </w:r>
          </w:p>
        </w:tc>
      </w:tr>
      <w:tr>
        <w:tc>
          <w:tcPr/>
          <w:p>
            <w:pPr>
              <w:pStyle w:val="Compact"/>
            </w:pPr>
            <w:r>
              <w:t xml:space="preserve">Independent statistician</w:t>
            </w:r>
          </w:p>
        </w:tc>
        <w:tc>
          <w:tcPr/>
          <w:p>
            <w:pPr>
              <w:pStyle w:val="Compact"/>
            </w:pPr>
            <w:r>
              <w:t xml:space="preserve">[PLACEHOLDER: not yet appointed]; receives the pseudonymised analysis file under a current data note and recomputes derived quantities</w:t>
            </w:r>
          </w:p>
        </w:tc>
      </w:tr>
      <w:tr>
        <w:tc>
          <w:tcPr/>
          <w:p>
            <w:pPr>
              <w:pStyle w:val="Compact"/>
            </w:pPr>
            <w:r>
              <w:t xml:space="preserve">Clinical master file manager</w:t>
            </w:r>
          </w:p>
        </w:tc>
        <w:tc>
          <w:tcPr/>
          <w:p>
            <w:pPr>
              <w:pStyle w:val="Compact"/>
            </w:pPr>
            <w:r>
              <w:t xml:space="preserve">Maintains the clinical master file and trial master file</w:t>
            </w:r>
          </w:p>
        </w:tc>
      </w:tr>
      <w:tr>
        <w:tc>
          <w:tcPr/>
          <w:p>
            <w:pPr>
              <w:pStyle w:val="Compact"/>
            </w:pPr>
            <w:r>
              <w:t xml:space="preserve">Data Protection Officer</w:t>
            </w:r>
          </w:p>
        </w:tc>
        <w:tc>
          <w:tcPr/>
          <w:p>
            <w:pPr>
              <w:pStyle w:val="Compact"/>
            </w:pPr>
            <w:r>
              <w:t xml:space="preserve">[PLACEHOLDER: not yet named]; confirms the lawful basis and reviews the DPIA</w:t>
            </w:r>
          </w:p>
        </w:tc>
      </w:tr>
      <w:tr>
        <w:tc>
          <w:tcPr/>
          <w:p>
            <w:pPr>
              <w:pStyle w:val="Compact"/>
            </w:pPr>
            <w:r>
              <w:t xml:space="preserve">Partner site (UCLH, intended, still to be confirmed)</w:t>
            </w:r>
          </w:p>
        </w:tc>
        <w:tc>
          <w:tcPr/>
          <w:p>
            <w:pPr>
              <w:pStyle w:val="Compact"/>
            </w:pPr>
            <w:r>
              <w:t xml:space="preserve">Processor for screening, consent and case report form entries made by delegated site staff, under an Article 28 agreement</w:t>
            </w:r>
          </w:p>
        </w:tc>
      </w:tr>
      <w:tr>
        <w:tc>
          <w:tcPr/>
          <w:p>
            <w:pPr>
              <w:pStyle w:val="Compact"/>
            </w:pPr>
            <w:r>
              <w:t xml:space="preserve">App hosting provider</w:t>
            </w:r>
          </w:p>
        </w:tc>
        <w:tc>
          <w:tcPr/>
          <w:p>
            <w:pPr>
              <w:pStyle w:val="Compact"/>
            </w:pPr>
            <w:r>
              <w:t xml:space="preserve">[PLACEHOLDER: app backend vendor, not yet contracted]; processor under a data processing agreement</w:t>
            </w:r>
          </w:p>
        </w:tc>
      </w:tr>
      <w:tr>
        <w:tc>
          <w:tcPr/>
          <w:p>
            <w:pPr>
              <w:pStyle w:val="Compact"/>
            </w:pPr>
            <w:r>
              <w:t xml:space="preserve">Named archivist</w:t>
            </w:r>
          </w:p>
        </w:tc>
        <w:tc>
          <w:tcPr/>
          <w:p>
            <w:pPr>
              <w:pStyle w:val="Compact"/>
            </w:pPr>
            <w:r>
              <w:t xml:space="preserve">[PLACEHOLDER: not yet appointed]</w:t>
            </w:r>
          </w:p>
        </w:tc>
      </w:tr>
    </w:tbl>
    <w:bookmarkEnd w:id="22"/>
    <w:bookmarkStart w:id="24" w:name="data-sources"/>
    <w:p>
      <w:pPr>
        <w:pStyle w:val="Heading2"/>
      </w:pPr>
      <w:r>
        <w:t xml:space="preserve">3. Data sources</w:t>
      </w:r>
    </w:p>
    <w:p>
      <w:pPr>
        <w:pStyle w:val="FirstParagraph"/>
      </w:pPr>
      <w:r>
        <w:t xml:space="preserve">This section names every source that will feed the analysis file, and the sources that will be kept out of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is captured</w:t>
            </w:r>
          </w:p>
        </w:tc>
        <w:tc>
          <w:tcPr/>
          <w:p>
            <w:pPr>
              <w:pStyle w:val="Compact"/>
            </w:pPr>
            <w:r>
              <w:t xml:space="preserve">System of record</w:t>
            </w:r>
          </w:p>
        </w:tc>
        <w:tc>
          <w:tcPr/>
          <w:p>
            <w:pPr>
              <w:pStyle w:val="Compact"/>
            </w:pPr>
            <w:r>
              <w:t xml:space="preserve">Notes</w:t>
            </w:r>
          </w:p>
        </w:tc>
      </w:tr>
      <w:tr>
        <w:tc>
          <w:tcPr/>
          <w:p>
            <w:pPr>
              <w:pStyle w:val="Compact"/>
            </w:pPr>
            <w:r>
              <w:t xml:space="preserve">Lazoo version 1 restricted app</w:t>
            </w:r>
          </w:p>
        </w:tc>
        <w:tc>
          <w:tcPr/>
          <w:p>
            <w:pPr>
              <w:pStyle w:val="Compact"/>
            </w:pPr>
            <w:r>
              <w:t xml:space="preserve">Self-reported sleep and lifestyle log, consent choices, app_version, operating system, study_link, and a history of edits to which entries can only be added</w:t>
            </w:r>
          </w:p>
        </w:tc>
        <w:tc>
          <w:tcPr/>
          <w:p>
            <w:pPr>
              <w:pStyle w:val="Compact"/>
            </w:pPr>
            <w:r>
              <w:t xml:space="preserve">App backend (vendor still to be confirmed; not yet contracted)</w:t>
            </w:r>
          </w:p>
        </w:tc>
        <w:tc>
          <w:tcPr/>
          <w:p>
            <w:pPr>
              <w:pStyle w:val="Compact"/>
            </w:pPr>
            <w:r>
              <w:t xml:space="preserve">Distributed through Apple Unlisted App Distribution and Google Play closed testing. Raw timestamps. No scores or flags.</w:t>
            </w:r>
          </w:p>
        </w:tc>
      </w:tr>
      <w:tr>
        <w:tc>
          <w:tcPr/>
          <w:p>
            <w:pPr>
              <w:pStyle w:val="Compact"/>
            </w:pPr>
            <w:r>
              <w:t xml:space="preserve">CSD-M comparator</w:t>
            </w:r>
          </w:p>
        </w:tc>
        <w:tc>
          <w:tcPr/>
          <w:p>
            <w:pPr>
              <w:pStyle w:val="Compact"/>
            </w:pPr>
            <w:r>
              <w:t xml:space="preserve">Construct values (clock times, durations, counts and ratings) for pairing</w:t>
            </w:r>
          </w:p>
        </w:tc>
        <w:tc>
          <w:tcPr/>
          <w:p>
            <w:pPr>
              <w:pStyle w:val="Compact"/>
            </w:pPr>
            <w:r>
              <w:t xml:space="preserve">Locked PDF or electronic form, uploaded electronically by the participant with the study ID only, plus transcription onto the case report form</w:t>
            </w:r>
          </w:p>
        </w:tc>
        <w:tc>
          <w:tcPr/>
          <w:p>
            <w:pPr>
              <w:pStyle w:val="Compact"/>
            </w:pPr>
            <w:r>
              <w:t xml:space="preserve">Cite Carney 2012, doi:10.5665/sleep.1642. Version: the CSD-M as published in Carney et al. 2012. A licence for use in the UK is not yet in place and must be in place before first use. An industry licence from Colleen Carney is required before the exact question wording or the publisher’s PDF enters the trial master file; this is still to be confirmed.</w:t>
            </w:r>
          </w:p>
        </w:tc>
      </w:tr>
      <w:tr>
        <w:tc>
          <w:tcPr/>
          <w:p>
            <w:pPr>
              <w:pStyle w:val="Compact"/>
            </w:pPr>
            <w:r>
              <w:t xml:space="preserve">Case report form booklet</w:t>
            </w:r>
          </w:p>
        </w:tc>
        <w:tc>
          <w:tcPr/>
          <w:p>
            <w:pPr>
              <w:pStyle w:val="Compact"/>
            </w:pPr>
            <w:r>
              <w:t xml:space="preserve">Eligibility, pairing log, System Usability Scale, structured questions, adverse events and distress, signatures</w:t>
            </w:r>
          </w:p>
        </w:tc>
        <w:tc>
          <w:tcPr/>
          <w:p>
            <w:pPr>
              <w:pStyle w:val="Compact"/>
            </w:pPr>
            <w:r>
              <w:t xml:space="preserve">Paper case report form until an electronic case report form is named</w:t>
            </w:r>
          </w:p>
        </w:tc>
        <w:tc>
          <w:tcPr/>
          <w:p>
            <w:pPr>
              <w:pStyle w:val="Compact"/>
            </w:pPr>
            <w:r>
              <w:t xml:space="preserve">Participant ID LAZ-VAL-001-NNN. Eligibility on the case report form includes the exclusion of pregnancy, excluded from this validation study because use in pregnancy will be evaluated in a separate, dedicated study later (sponsor decision, 13 October 2026).</w:t>
            </w:r>
          </w:p>
        </w:tc>
      </w:tr>
      <w:tr>
        <w:tc>
          <w:tcPr/>
          <w:p>
            <w:pPr>
              <w:pStyle w:val="Compact"/>
            </w:pPr>
            <w:r>
              <w:t xml:space="preserve">Consent record</w:t>
            </w:r>
          </w:p>
        </w:tc>
        <w:tc>
          <w:tcPr/>
          <w:p>
            <w:pPr>
              <w:pStyle w:val="Compact"/>
            </w:pPr>
            <w:r>
              <w:t xml:space="preserve">Consent choices 1 to 4; the version of the wording; the electronic consent timestamp (joint HRA and MHRA statement on electronic consent); identity by Prolific ID, attested by Prolific; the participant’s copy of the signed form (a downloadable PDF in the app at signing, kept in the study account, with a copy through Prolific messaging on request; no email address held); withdrawal</w:t>
            </w:r>
          </w:p>
        </w:tc>
        <w:tc>
          <w:tcPr/>
          <w:p>
            <w:pPr>
              <w:pStyle w:val="Compact"/>
            </w:pPr>
            <w:r>
              <w:t xml:space="preserve">Consent file and in-app store</w:t>
            </w:r>
          </w:p>
        </w:tc>
        <w:tc>
          <w:tcPr/>
          <w:p>
            <w:pPr>
              <w:pStyle w:val="Compact"/>
            </w:pPr>
            <w:r>
              <w:t xml:space="preserve">The study requires choices 1 and 3; choice 4 is off by default</w:t>
            </w:r>
          </w:p>
        </w:tc>
      </w:tr>
      <w:tr>
        <w:tc>
          <w:tcPr/>
          <w:p>
            <w:pPr>
              <w:pStyle w:val="Compact"/>
            </w:pPr>
            <w:r>
              <w:t xml:space="preserve">Export receipts</w:t>
            </w:r>
          </w:p>
        </w:tc>
        <w:tc>
          <w:tcPr/>
          <w:p>
            <w:pPr>
              <w:pStyle w:val="Compact"/>
            </w:pPr>
            <w:r>
              <w:t xml:space="preserve">File IDs of the JSON and CSV exports, the date, and who downloaded them</w:t>
            </w:r>
          </w:p>
        </w:tc>
        <w:tc>
          <w:tcPr/>
          <w:p>
            <w:pPr>
              <w:pStyle w:val="Compact"/>
            </w:pPr>
            <w:r>
              <w:t xml:space="preserve">Study folder on the sponsor’s storage</w:t>
            </w:r>
          </w:p>
        </w:tc>
        <w:tc>
          <w:tcPr/>
          <w:p>
            <w:pPr>
              <w:pStyle w:val="Compact"/>
            </w:pPr>
          </w:p>
        </w:tc>
      </w:tr>
      <w:tr>
        <w:tc>
          <w:tcPr/>
          <w:p>
            <w:pPr>
              <w:pStyle w:val="Compact"/>
            </w:pPr>
            <w:r>
              <w:t xml:space="preserve">Recruitment platform (Prolific, the only recruitment route)</w:t>
            </w:r>
          </w:p>
        </w:tc>
        <w:tc>
          <w:tcPr/>
          <w:p>
            <w:pPr>
              <w:pStyle w:val="Compact"/>
            </w:pPr>
            <w:r>
              <w:t xml:space="preserve">Prolific participant ID, screening responses and completion status needed to invite volunteers and record completion</w:t>
            </w:r>
          </w:p>
        </w:tc>
        <w:tc>
          <w:tcPr/>
          <w:p>
            <w:pPr>
              <w:pStyle w:val="Compact"/>
            </w:pPr>
            <w:r>
              <w:t xml:space="preserve">Prolific, through Sleep and Health Clinic App Ltd’s own account</w:t>
            </w:r>
          </w:p>
        </w:tc>
        <w:tc>
          <w:tcPr/>
          <w:p>
            <w:pPr>
              <w:pStyle w:val="Compact"/>
            </w:pPr>
            <w:r>
              <w:t xml:space="preserve">Independent controller of its account data; no data processing agreement. Prolific’s terms will be reviewed and the review recorded here before recruitment opens; that review is an item owned by the sponsor that will be closed before the Chief Investigator signs, and a dated copy of Prolific’s terms will be filed at the same point. Prolific IDs are personal data and are linked to study participant IDs only on the sponsor’s storage. Prolific does not store answers given outside its platform. Prolific’s Survey Builder is not used for special category data.</w:t>
            </w:r>
          </w:p>
        </w:tc>
      </w:tr>
      <w:tr>
        <w:tc>
          <w:tcPr/>
          <w:p>
            <w:pPr>
              <w:pStyle w:val="Compact"/>
            </w:pPr>
            <w:r>
              <w:t xml:space="preserve">UCLH (intended partner site, still to be confirmed)</w:t>
            </w:r>
          </w:p>
        </w:tc>
        <w:tc>
          <w:tcPr/>
          <w:p>
            <w:pPr>
              <w:pStyle w:val="Compact"/>
            </w:pPr>
            <w:r>
              <w:t xml:space="preserve">Screening, consent and case report form entries made by delegated site staff</w:t>
            </w:r>
          </w:p>
        </w:tc>
        <w:tc>
          <w:tcPr/>
          <w:p>
            <w:pPr>
              <w:pStyle w:val="Compact"/>
            </w:pPr>
            <w:r>
              <w:t xml:space="preserve">Investigator site file, then the sponsor’s storage</w:t>
            </w:r>
          </w:p>
        </w:tc>
        <w:tc>
          <w:tcPr/>
          <w:p>
            <w:pPr>
              <w:pStyle w:val="Compact"/>
            </w:pPr>
            <w:r>
              <w:t xml:space="preserve">Intended processor for the sponsor under an Article 28 agreement; no agreement in place. The role of UCLH is solely that of a paid subcontracted site and data processor for Sleep and Health Clinic App Ltd, separate from any UCLH-sponsored feasibility study, which has its own file and is not part of this protocol. See section 5.</w:t>
            </w:r>
          </w:p>
        </w:tc>
      </w:tr>
    </w:tbl>
    <w:bookmarkStart w:id="23" w:name="sources-outside-this-study"/>
    <w:p>
      <w:pPr>
        <w:pStyle w:val="Heading3"/>
      </w:pPr>
      <w:r>
        <w:t xml:space="preserve">Sources outside this study</w:t>
      </w:r>
    </w:p>
    <w:p>
      <w:pPr>
        <w:pStyle w:val="FirstParagraph"/>
      </w:pPr>
      <w:r>
        <w:t xml:space="preserve">The analysis draws only on the sources listed above. The following are therefore outside it: any patient list (see section 4); NHS electronic records and the clinic notes of Sleep &amp; Health Clinic Ltd (08904119); datasets from studies run by other sponsors; streams from wearable devices or core body temperature sensors, which are reserved and empty (wrist actigraphy is not included in this version); ai_event or any model output; national registry feeds, platforms for cognitive behavioural therapy for insomnia (CBT-I) and sleep-phenotyping tools; and unlicensed images of the CSD-M PDF used as if they were the case report form.</w:t>
      </w:r>
    </w:p>
    <w:bookmarkEnd w:id="23"/>
    <w:bookmarkEnd w:id="24"/>
    <w:bookmarkStart w:id="25" w:name="recruitment"/>
    <w:p>
      <w:pPr>
        <w:pStyle w:val="Heading2"/>
      </w:pPr>
      <w:r>
        <w:t xml:space="preserve">4. Recruitment</w:t>
      </w:r>
    </w:p>
    <w:p>
      <w:pPr>
        <w:pStyle w:val="FirstParagraph"/>
      </w:pPr>
      <w:r>
        <w:t xml:space="preserve">Prolific, through Sleep and Health Clinic App Ltd’s own account, is the only recruitment route, and the partner site does not recruit. Any change needs a protocol amendment and ethics approval.</w:t>
      </w:r>
    </w:p>
    <w:p>
      <w:pPr>
        <w:pStyle w:val="BodyText"/>
      </w:pPr>
      <w:r>
        <w:t xml:space="preserve">Participants come only from the Prolific pool, so no one is recruited from any NHS organisation’s patient lists, from UCLH’s patients or from the patients of Sleep &amp; Health Clinic Ltd (08904119). Pregnancy is excluded from this validation study because use in pregnancy will be evaluated in a separate, dedicated study later (sponsor decision, 13 October 2026), and this exclusion is recorded on the case report form.</w:t>
      </w:r>
    </w:p>
    <w:p>
      <w:pPr>
        <w:pStyle w:val="BodyText"/>
      </w:pPr>
      <w:r>
        <w:t xml:space="preserve">The pairing key is the participant ID together with the diary_date. The default site code is APP-LTD-VOL. For UCLH, the intended partner site, still to be confirmed, a site code will be issued once the site agreement has been signed and the sponsor has opened the site; no agreement is yet in place.</w:t>
      </w:r>
    </w:p>
    <w:bookmarkEnd w:id="25"/>
    <w:bookmarkStart w:id="26" w:name="partner-site-and-rules-for-data-sharing"/>
    <w:p>
      <w:pPr>
        <w:pStyle w:val="Heading2"/>
      </w:pPr>
      <w:r>
        <w:t xml:space="preserve">5. Partner site and rules for data sharing</w:t>
      </w:r>
    </w:p>
    <w:p>
      <w:pPr>
        <w:pStyle w:val="FirstParagraph"/>
      </w:pPr>
      <w:r>
        <w:t xml:space="preserve">This section sets the partner site’s data-protection role and the two rules that apply to every outbound share of data.</w:t>
      </w:r>
    </w:p>
    <w:p>
      <w:pPr>
        <w:pStyle w:val="BodyText"/>
      </w:pPr>
      <w:r>
        <w:t xml:space="preserve">Sleep and Health Clinic App Ltd is the controller for all study data. UCLH, the intended partner site, still to be confirmed, is a processor. No agreement is in place, and UCLH will be approached once the clinical trials pack is complete. UCLH is separate from any UCLH-sponsored feasibility study, which has its own file and is not part of this protocol. UCLH processes study data only on the sponsor’s documented instructions, under an agreement made under Article 28 of the UK General Data Protection Regulation (UK GDPR), which forms part of the site agreement. The site agreement will be the current unmodified model Clinical Investigation Agreement (mCIA version 6.0, August 2026). UCLH is a controller only for its own clinical or corporate records. Sleep and Health Clinic App Ltd (12467350) remains the sole sponsor and funder, owns all intellectual property and pays UCLH as a subcontracted site.</w:t>
      </w:r>
    </w:p>
    <w:p>
      <w:pPr>
        <w:pStyle w:val="BodyText"/>
      </w:pPr>
      <w:r>
        <w:t xml:space="preserve">The partner site receives only the identifiable data it needs for screening, consent and study conduct, and returns or destroys them at site close-out as the site agreement states.</w:t>
      </w:r>
    </w:p>
    <w:p>
      <w:pPr>
        <w:pStyle w:val="BodyText"/>
      </w:pPr>
      <w:r>
        <w:rPr>
          <w:b/>
          <w:bCs/>
        </w:rPr>
        <w:t xml:space="preserve">Rule 1: free text.</w:t>
      </w:r>
      <w:r>
        <w:t xml:space="preserve"> </w:t>
      </w:r>
      <w:r>
        <w:t xml:space="preserve">Identifiable free text stays within Sleep and Health Clinic App Ltd. Any free-text fields that are collected are reviewed and stripped of identifiers before an analysis file is shared.</w:t>
      </w:r>
    </w:p>
    <w:p>
      <w:pPr>
        <w:pStyle w:val="BodyText"/>
      </w:pPr>
      <w:r>
        <w:rPr>
          <w:b/>
          <w:bCs/>
        </w:rPr>
        <w:t xml:space="preserve">Rule 2: data notes.</w:t>
      </w:r>
      <w:r>
        <w:t xml:space="preserve"> </w:t>
      </w:r>
      <w:r>
        <w:t xml:space="preserve">Any transfer of study data from the sponsor to another party, including the partner site, the statistician or a vendor, requires a current data note approved by the sponsor before the transfer takes place. Earlier data-sharing notes do not cover this study.</w:t>
      </w:r>
    </w:p>
    <w:p>
      <w:pPr>
        <w:pStyle w:val="BodyText"/>
      </w:pPr>
      <w:r>
        <w:t xml:space="preserve">The data-protection impact of opening UCLH will be assessed in a completed DPIA before the site opens. A completed DPIA is an item owned by the sponsor that will be closed before the Chief Investigator signs.</w:t>
      </w:r>
    </w:p>
    <w:bookmarkEnd w:id="26"/>
    <w:bookmarkStart w:id="34" w:name="data-collection"/>
    <w:p>
      <w:pPr>
        <w:pStyle w:val="Heading2"/>
      </w:pPr>
      <w:r>
        <w:t xml:space="preserve">6. Data collection</w:t>
      </w:r>
    </w:p>
    <w:p>
      <w:pPr>
        <w:pStyle w:val="FirstParagraph"/>
      </w:pPr>
      <w:r>
        <w:t xml:space="preserve">This section describes how paired mornings are captured, so that Lazoo cannot pre-fill the CSD-M, and how total sleep time is derived.</w:t>
      </w:r>
    </w:p>
    <w:bookmarkStart w:id="27" w:name="order-of-capture"/>
    <w:p>
      <w:pPr>
        <w:pStyle w:val="Heading3"/>
      </w:pPr>
      <w:r>
        <w:t xml:space="preserve">Order of capture</w:t>
      </w:r>
    </w:p>
    <w:p>
      <w:pPr>
        <w:pStyle w:val="FirstParagraph"/>
      </w:pPr>
      <w:r>
        <w:t xml:space="preserve">Each morning the participant completes the CSD-M first and then Lazoo, in the same sitting. Training explains that going to bed (in_bed) and trying to sleep (sleep_attempt) are two different clock times. Completing Lazoo first is a deviation, and by default that morning cannot be evaluated for the primary endpoint.</w:t>
      </w:r>
    </w:p>
    <w:bookmarkEnd w:id="27"/>
    <w:bookmarkStart w:id="28" w:name="lazoo"/>
    <w:p>
      <w:pPr>
        <w:pStyle w:val="Heading3"/>
      </w:pPr>
      <w:r>
        <w:t xml:space="preserve">Lazoo</w:t>
      </w:r>
    </w:p>
    <w:p>
      <w:pPr>
        <w:pStyle w:val="FirstParagraph"/>
      </w:pPr>
      <w:r>
        <w:t xml:space="preserve">Participants make their entries on their own device, using the study code. The fields follow the data dictionary and the protocol’s construct map. Edits are allowed and are kept in an audit trail to which entries can only be added, recording who made each change, what changed and when, with the original value retained, in line with the ALCOA+ principles of data integrity (attributable, legible, contemporaneous, original and accurate, plus complete, consistent, enduring and available). The data are exported in JSON and CSV formats at close-out and whenever the Chief Investigator asks. Charts are never used in place of raw timestamps. The fields vitals.core_temp[], vitals.wearable[] and ai_event[] are reserved and empty in version 1.</w:t>
      </w:r>
    </w:p>
    <w:p>
      <w:pPr>
        <w:pStyle w:val="BodyText"/>
      </w:pPr>
      <w:r>
        <w:t xml:space="preserve">CSD-M field 15 (comments,</w:t>
      </w:r>
      <w:r>
        <w:t xml:space="preserve"> </w:t>
      </w:r>
      <w:r>
        <w:rPr>
          <w:rStyle w:val="VerbatimChar"/>
        </w:rPr>
        <w:t xml:space="preserve">notes</w:t>
      </w:r>
      <w:r>
        <w:t xml:space="preserve">) is not collected and is excluded from the case report form and the Lazoo export. The CSD-M licence terms are still to be confirmed. If the licence requires field 15, it would be kept with an instruction on the form (</w:t>
      </w:r>
      <w:r>
        <w:t xml:space="preserve">“Do not enter names, contact details or other identifying information; describe sleep only”</w:t>
      </w:r>
      <w:r>
        <w:t xml:space="preserve">), a limit of 200 characters, a redaction review at upload and the removal of identifiers from free text, and it would be covered in the DPIA.</w:t>
      </w:r>
    </w:p>
    <w:bookmarkEnd w:id="28"/>
    <w:bookmarkStart w:id="29" w:name="csd-m"/>
    <w:p>
      <w:pPr>
        <w:pStyle w:val="Heading3"/>
      </w:pPr>
      <w:r>
        <w:t xml:space="preserve">CSD-M</w:t>
      </w:r>
    </w:p>
    <w:p>
      <w:pPr>
        <w:pStyle w:val="FirstParagraph"/>
      </w:pPr>
      <w:r>
        <w:t xml:space="preserve">The source is a locked PDF or electronic form, uploaded electronically by the participant and carrying the study ID only, with no names, dates of birth or identifying free text. The licensed instrument will be used once the Carney industry licence has been filed. No paper copies are posted and no photographs are taken. Values are transcribed onto the daily construct page of the case report form by double entry, and discrepancies are logged and resolved before database lock.</w:t>
      </w:r>
    </w:p>
    <w:bookmarkEnd w:id="29"/>
    <w:bookmarkStart w:id="30" w:name="derived-quantities"/>
    <w:p>
      <w:pPr>
        <w:pStyle w:val="Heading3"/>
      </w:pPr>
      <w:r>
        <w:t xml:space="preserve">Derived quantities</w:t>
      </w:r>
    </w:p>
    <w:p>
      <w:pPr>
        <w:pStyle w:val="FirstParagraph"/>
      </w:pPr>
      <w:r>
        <w:t xml:space="preserve">Derived quantities are calculated on export or in the analysis file, and the raw clock times are stored as well.</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(PRIMARY; not CSD-M item 8)</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 sleep_attempt + SOL</w:t>
      </w:r>
    </w:p>
    <w:p>
      <w:pPr>
        <w:pStyle w:val="FirstParagraph"/>
      </w:pPr>
      <w:r>
        <w:t xml:space="preserve">Total sleep time (TST) is the primary quantity; it is calculated as above and is not taken from CSD-M item 8. These formulas for total sleep time, sleep onset latency, wake after sleep onset and sleep efficiency are draft study arithmetic for this agreement study and are not a product claim. The sponsor will set the product measure separately.</w:t>
      </w:r>
    </w:p>
    <w:p>
      <w:pPr>
        <w:pStyle w:val="BodyText"/>
      </w:pPr>
      <w:r>
        <w:t xml:space="preserve">A paired morning can be evaluated for the primary endpoint when both diaries record sleep_attempt, sleep onset latency, wake after sleep onset, wake and out_of_bed, these are internally consistent, and total sleep time is at least zero. Naps are excluded from night-time total sleep time, and wake after sleep onset excludes the final waking.</w:t>
      </w:r>
    </w:p>
    <w:bookmarkEnd w:id="30"/>
    <w:bookmarkStart w:id="31" w:name="usability"/>
    <w:p>
      <w:pPr>
        <w:pStyle w:val="Heading3"/>
      </w:pPr>
      <w:r>
        <w:t xml:space="preserve">Usability</w:t>
      </w:r>
    </w:p>
    <w:p>
      <w:pPr>
        <w:pStyle w:val="FirstParagraph"/>
      </w:pPr>
      <w:r>
        <w:t xml:space="preserve">The System Usability Scale (Brooke, 1996) and three structured questions are recorded on the case report form on day 15. They are entered once, and no score is shown to the participant in the app as a clinical output.</w:t>
      </w:r>
    </w:p>
    <w:bookmarkEnd w:id="31"/>
    <w:bookmarkStart w:id="32" w:name="consent"/>
    <w:p>
      <w:pPr>
        <w:pStyle w:val="Heading3"/>
      </w:pPr>
      <w:r>
        <w:t xml:space="preserve">Consent</w:t>
      </w:r>
    </w:p>
    <w:p>
      <w:pPr>
        <w:pStyle w:val="FirstParagraph"/>
      </w:pPr>
      <w:r>
        <w:t xml:space="preserve">The version of the wording for each consent choice is stored. Withdrawal of consent choice 3 stops future research use, and the participant information sheet explains that a locked analysis set is not reopened. Consent choice 4 is off by default.</w:t>
      </w:r>
    </w:p>
    <w:bookmarkEnd w:id="32"/>
    <w:bookmarkStart w:id="33" w:name="electronic-case-report-form"/>
    <w:p>
      <w:pPr>
        <w:pStyle w:val="Heading3"/>
      </w:pPr>
      <w:r>
        <w:t xml:space="preserve">Electronic case report form</w:t>
      </w:r>
    </w:p>
    <w:p>
      <w:pPr>
        <w:pStyle w:val="FirstParagraph"/>
      </w:pPr>
      <w:r>
        <w:t xml:space="preserve">The default collection model is a paper case report form together with the Lazoo export. The supplier of any electronic case report form, and its validation, are still to be confirmed: [PLACEHOLDER: electronic case report form supplier, if one is used]. Validation would follow the MHRA</w:t>
      </w:r>
      <w:r>
        <w:t xml:space="preserve"> </w:t>
      </w:r>
      <w:r>
        <w:t xml:space="preserve">“GXP”</w:t>
      </w:r>
      <w:r>
        <w:t xml:space="preserve"> </w:t>
      </w:r>
      <w:r>
        <w:t xml:space="preserve">Data Integrity Guidance and Definitions (March 2018) and ICH E6(R3) on computerised systems, with 21 CFR Part 11 applied only where a submission in the United States is planned.</w:t>
      </w:r>
    </w:p>
    <w:bookmarkEnd w:id="33"/>
    <w:bookmarkEnd w:id="34"/>
    <w:bookmarkStart w:id="35" w:name="storage-and-security"/>
    <w:p>
      <w:pPr>
        <w:pStyle w:val="Heading2"/>
      </w:pPr>
      <w:r>
        <w:t xml:space="preserve">7. Storage and security</w:t>
      </w:r>
    </w:p>
    <w:p>
      <w:pPr>
        <w:pStyle w:val="FirstParagraph"/>
      </w:pPr>
      <w:r>
        <w:t xml:space="preserve">Identifiable files are kept on storage controlled by the sponsor, and the analysis file is pseudonymised.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Store</w:t>
            </w:r>
          </w:p>
        </w:tc>
        <w:tc>
          <w:tcPr/>
          <w:p>
            <w:pPr>
              <w:pStyle w:val="Compact"/>
            </w:pPr>
            <w:r>
              <w:t xml:space="preserve">Contents</w:t>
            </w:r>
          </w:p>
        </w:tc>
        <w:tc>
          <w:tcPr/>
          <w:p>
            <w:pPr>
              <w:pStyle w:val="Compact"/>
            </w:pPr>
            <w:r>
              <w:t xml:space="preserve">Access</w:t>
            </w:r>
          </w:p>
        </w:tc>
        <w:tc>
          <w:tcPr/>
          <w:p>
            <w:pPr>
              <w:pStyle w:val="Compact"/>
            </w:pPr>
            <w:r>
              <w:t xml:space="preserve">Status at 28 August 2026</w:t>
            </w:r>
          </w:p>
        </w:tc>
      </w:tr>
      <w:tr>
        <w:tc>
          <w:tcPr/>
          <w:p>
            <w:pPr>
              <w:pStyle w:val="Compact"/>
            </w:pPr>
            <w:r>
              <w:t xml:space="preserve">Drive or folder controlled by the sponsor (to be authorised)</w:t>
            </w:r>
          </w:p>
        </w:tc>
        <w:tc>
          <w:tcPr/>
          <w:p>
            <w:pPr>
              <w:pStyle w:val="Compact"/>
            </w:pPr>
            <w:r>
              <w:t xml:space="preserve">Identifiable case report form scans, electronic consent records, uploaded CSD-M PDFs, export receipts</w:t>
            </w:r>
          </w:p>
        </w:tc>
        <w:tc>
          <w:tcPr/>
          <w:p>
            <w:pPr>
              <w:pStyle w:val="Compact"/>
            </w:pPr>
            <w:r>
              <w:t xml:space="preserve">Chief Investigator, named delegates, archivist</w:t>
            </w:r>
          </w:p>
        </w:tc>
        <w:tc>
          <w:tcPr/>
          <w:p>
            <w:pPr>
              <w:pStyle w:val="Compact"/>
            </w:pPr>
            <w:r>
              <w:t xml:space="preserve">Long-term storage location not yet authorised; still to be confirmed (see the sponsor’s archiving procedure)</w:t>
            </w:r>
          </w:p>
        </w:tc>
      </w:tr>
      <w:tr>
        <w:tc>
          <w:tcPr/>
          <w:p>
            <w:pPr>
              <w:pStyle w:val="Compact"/>
            </w:pPr>
            <w:r>
              <w:t xml:space="preserve">Lazoo backend</w:t>
            </w:r>
          </w:p>
        </w:tc>
        <w:tc>
          <w:tcPr/>
          <w:p>
            <w:pPr>
              <w:pStyle w:val="Compact"/>
            </w:pPr>
            <w:r>
              <w:t xml:space="preserve">Pseudonymous account linked to the Prolific ID only (no email address, name or telephone number unless Prolific gives written approval and this plan is updated), diary, consent choices, audit trail</w:t>
            </w:r>
          </w:p>
        </w:tc>
        <w:tc>
          <w:tcPr/>
          <w:p>
            <w:pPr>
              <w:pStyle w:val="Compact"/>
            </w:pPr>
            <w:r>
              <w:t xml:space="preserve">Engineering staff on a need-to-know basis, and the Chief Investigator’s delegate</w:t>
            </w:r>
          </w:p>
        </w:tc>
        <w:tc>
          <w:tcPr/>
          <w:p>
            <w:pPr>
              <w:pStyle w:val="Compact"/>
            </w:pPr>
            <w:r>
              <w:t xml:space="preserve">Processor contract and data processing agreement not yet filed; still to be confirmed</w:t>
            </w:r>
          </w:p>
        </w:tc>
      </w:tr>
      <w:tr>
        <w:tc>
          <w:tcPr/>
          <w:p>
            <w:pPr>
              <w:pStyle w:val="Compact"/>
            </w:pPr>
            <w:r>
              <w:t xml:space="preserve">Analysis file</w:t>
            </w:r>
          </w:p>
        </w:tc>
        <w:tc>
          <w:tcPr/>
          <w:p>
            <w:pPr>
              <w:pStyle w:val="Compact"/>
            </w:pPr>
            <w:r>
              <w:t xml:space="preserve">Pseudonymised pairing of Lazoo and CSD-M constructs; derived total sleep time, sleep onset latency, wake after sleep onset, time in bed and sleep efficiency; System Usability Scale; free text stripped of identifiers</w:t>
            </w:r>
          </w:p>
        </w:tc>
        <w:tc>
          <w:tcPr/>
          <w:p>
            <w:pPr>
              <w:pStyle w:val="Compact"/>
            </w:pPr>
            <w:r>
              <w:t xml:space="preserve">Independent statistician (when appointed; working position, pending sponsor decision: not yet appointed) and Chief Investigator; shared only under a current data note</w:t>
            </w:r>
          </w:p>
        </w:tc>
        <w:tc>
          <w:tcPr/>
          <w:p>
            <w:pPr>
              <w:pStyle w:val="Compact"/>
            </w:pPr>
            <w:r>
              <w:t xml:space="preserve">Built at the first extract</w:t>
            </w:r>
          </w:p>
        </w:tc>
      </w:tr>
      <w:tr>
        <w:tc>
          <w:tcPr/>
          <w:p>
            <w:pPr>
              <w:pStyle w:val="Compact"/>
            </w:pPr>
            <w:r>
              <w:t xml:space="preserve">Clinical master file and trial master file (this set of documents)</w:t>
            </w:r>
          </w:p>
        </w:tc>
        <w:tc>
          <w:tcPr/>
          <w:p>
            <w:pPr>
              <w:pStyle w:val="Compact"/>
            </w:pPr>
            <w:r>
              <w:t xml:space="preserve">Protocol, data management plan, case report form template, logs; no bulk identifiable diaries in messaging tools</w:t>
            </w:r>
          </w:p>
        </w:tc>
        <w:tc>
          <w:tcPr/>
          <w:p>
            <w:pPr>
              <w:pStyle w:val="Compact"/>
            </w:pPr>
            <w:r>
              <w:t xml:space="preserve">Clinical master file manager, Chief Investigator, auditors, and the research ethics committee on request</w:t>
            </w:r>
          </w:p>
        </w:tc>
        <w:tc>
          <w:tcPr/>
          <w:p>
            <w:pPr>
              <w:pStyle w:val="Compact"/>
            </w:pPr>
            <w:r>
              <w:t xml:space="preserve">Open</w:t>
            </w:r>
          </w:p>
        </w:tc>
      </w:tr>
    </w:tbl>
    <w:p>
      <w:pPr>
        <w:pStyle w:val="BodyText"/>
      </w:pPr>
      <w:r>
        <w:t xml:space="preserve">The controller is Sleep and Health Clinic App Ltd. Sleep &amp; Health Clinic Ltd (08904119), the clinic registered with the Care Quality Commission, is a different company that shares a registered-office address. It is not the controller for this study, and by default it receives no identifiable exports from the study.</w:t>
      </w:r>
    </w:p>
    <w:p>
      <w:pPr>
        <w:pStyle w:val="BodyText"/>
      </w:pPr>
      <w:r>
        <w:t xml:space="preserve">Files that identify participants stay on storage controlled by the sponsor and are always sent by secure means, never by open email or messaging. Identifiable free text stays within the sponsor, and any outbound share needs a current data note (see section 5). Data reside in the UK by default, and any transfer outside the UK takes place only under a documented mechanism.</w:t>
      </w:r>
    </w:p>
    <w:p>
      <w:pPr>
        <w:pStyle w:val="BodyText"/>
      </w:pPr>
      <w:r>
        <w:t xml:space="preserve">The key used on the case report form and in exports is the participant ID. Consent is electronic, with identity attested through the Prolific ID. In this version the study records the participant ID only and collects no initials, names, dates of birth, telephone numbers, email addresses or NHS numbers.</w:t>
      </w:r>
    </w:p>
    <w:p>
      <w:pPr>
        <w:pStyle w:val="BodyText"/>
      </w:pPr>
      <w:r>
        <w:rPr>
          <w:b/>
          <w:bCs/>
        </w:rPr>
        <w:t xml:space="preserve">Back-up.</w:t>
      </w:r>
      <w:r>
        <w:t xml:space="preserve"> </w:t>
      </w:r>
      <w:r>
        <w:t xml:space="preserve">Back-up frequency and a restore test have still to be documented, and both will be in place before any identifiable data are collected: [PLACEHOLDER: back-up frequency and restore-test procedure].</w:t>
      </w:r>
    </w:p>
    <w:p>
      <w:pPr>
        <w:pStyle w:val="BodyText"/>
      </w:pPr>
      <w:r>
        <w:rPr>
          <w:b/>
          <w:bCs/>
        </w:rPr>
        <w:t xml:space="preserve">Access control and security measures.</w:t>
      </w:r>
      <w:r>
        <w:t xml:space="preserve"> </w:t>
      </w:r>
      <w:r>
        <w:t xml:space="preserve">[PLACEHOLDER: access-control, encryption and access-logging measures for each store, to be documented with the hosting provider]</w:t>
      </w:r>
    </w:p>
    <w:bookmarkEnd w:id="35"/>
    <w:bookmarkStart w:id="36" w:name="quality-control"/>
    <w:p>
      <w:pPr>
        <w:pStyle w:val="Heading2"/>
      </w:pPr>
      <w:r>
        <w:t xml:space="preserve">8. Quality control</w:t>
      </w:r>
    </w:p>
    <w:p>
      <w:pPr>
        <w:pStyle w:val="FirstParagraph"/>
      </w:pPr>
      <w:r>
        <w:t xml:space="preserve">The checks below support measurement agreement and are not aimed at diagnostic accuracy.</w:t>
      </w:r>
    </w:p>
    <w:p>
      <w:pPr>
        <w:pStyle w:val="Compact"/>
        <w:numPr>
          <w:ilvl w:val="0"/>
          <w:numId w:val="1002"/>
        </w:numPr>
      </w:pPr>
      <w:r>
        <w:rPr>
          <w:b/>
          <w:bCs/>
        </w:rPr>
        <w:t xml:space="preserve">Consent.</w:t>
      </w:r>
      <w:r>
        <w:t xml:space="preserve"> </w:t>
      </w:r>
      <w:r>
        <w:t xml:space="preserve">Every completer (100%) has consent choices 1 and 3, the version of the wording and the date recorded.</w:t>
      </w:r>
    </w:p>
    <w:p>
      <w:pPr>
        <w:pStyle w:val="Compact"/>
        <w:numPr>
          <w:ilvl w:val="0"/>
          <w:numId w:val="1002"/>
        </w:numPr>
      </w:pPr>
      <w:r>
        <w:rPr>
          <w:b/>
          <w:bCs/>
        </w:rPr>
        <w:t xml:space="preserve">Pairing log.</w:t>
      </w:r>
      <w:r>
        <w:t xml:space="preserve"> </w:t>
      </w:r>
      <w:r>
        <w:t xml:space="preserve">Every morning is coded as able to be evaluated or not, with a deviation code where needed.</w:t>
      </w:r>
    </w:p>
    <w:p>
      <w:pPr>
        <w:pStyle w:val="Compact"/>
        <w:numPr>
          <w:ilvl w:val="0"/>
          <w:numId w:val="1002"/>
        </w:numPr>
      </w:pPr>
      <w:r>
        <w:rPr>
          <w:b/>
          <w:bCs/>
        </w:rPr>
        <w:t xml:space="preserve">CSD-M transcription.</w:t>
      </w:r>
      <w:r>
        <w:t xml:space="preserve"> </w:t>
      </w:r>
      <w:r>
        <w:t xml:space="preserve">Double entry is completed and the discrepancy log closed before database lock.</w:t>
      </w:r>
    </w:p>
    <w:p>
      <w:pPr>
        <w:pStyle w:val="Compact"/>
        <w:numPr>
          <w:ilvl w:val="0"/>
          <w:numId w:val="1002"/>
        </w:numPr>
      </w:pPr>
      <w:r>
        <w:rPr>
          <w:b/>
          <w:bCs/>
        </w:rPr>
        <w:t xml:space="preserve">Lazoo.</w:t>
      </w:r>
      <w:r>
        <w:t xml:space="preserve"> </w:t>
      </w:r>
      <w:r>
        <w:t xml:space="preserve">The export contains raw timestamps; in_bed is distinct from sleep_attempt; edits carry an audit trail; and the reserved fields of version 1 are empty.</w:t>
      </w:r>
    </w:p>
    <w:p>
      <w:pPr>
        <w:pStyle w:val="Compact"/>
        <w:numPr>
          <w:ilvl w:val="0"/>
          <w:numId w:val="1002"/>
        </w:numPr>
      </w:pPr>
      <w:r>
        <w:rPr>
          <w:b/>
          <w:bCs/>
        </w:rPr>
        <w:t xml:space="preserve">Derived total sleep time.</w:t>
      </w:r>
      <w:r>
        <w:t xml:space="preserve"> </w:t>
      </w:r>
      <w:r>
        <w:t xml:space="preserve">Total sleep time is recomputed independently from the raw clock times in the analysis file. Any total sleep time pre-computed by the app, if one were ever present, is not relied on; version 1 is not expected to display a clinical score.</w:t>
      </w:r>
    </w:p>
    <w:p>
      <w:pPr>
        <w:pStyle w:val="Compact"/>
        <w:numPr>
          <w:ilvl w:val="0"/>
          <w:numId w:val="1002"/>
        </w:numPr>
      </w:pPr>
      <w:r>
        <w:rPr>
          <w:b/>
          <w:bCs/>
        </w:rPr>
        <w:t xml:space="preserve">Range checks.</w:t>
      </w:r>
      <w:r>
        <w:t xml:space="preserve"> </w:t>
      </w:r>
      <w:r>
        <w:t xml:space="preserve">Sleep onset latency, wake after sleep onset and time awake after final waking are each at least zero; out_of_bed ≥ wake ≥ sleep_attempt; time in bed is greater than zero for sleep efficiency; and total sleep time below zero or above time in bed is flagged for a query. These queries are data queries and are never shown to the participant as clinical flags.</w:t>
      </w:r>
    </w:p>
    <w:p>
      <w:pPr>
        <w:pStyle w:val="Compact"/>
        <w:numPr>
          <w:ilvl w:val="0"/>
          <w:numId w:val="1002"/>
        </w:numPr>
      </w:pPr>
      <w:r>
        <w:rPr>
          <w:b/>
          <w:bCs/>
        </w:rPr>
        <w:t xml:space="preserve">System Usability Scale.</w:t>
      </w:r>
      <w:r>
        <w:t xml:space="preserve"> </w:t>
      </w:r>
      <w:r>
        <w:t xml:space="preserve">All 10 items are present, or the missing items are explained; the score is calculated centrally.</w:t>
      </w:r>
    </w:p>
    <w:p>
      <w:pPr>
        <w:pStyle w:val="Compact"/>
        <w:numPr>
          <w:ilvl w:val="0"/>
          <w:numId w:val="1002"/>
        </w:numPr>
      </w:pPr>
      <w:r>
        <w:rPr>
          <w:b/>
          <w:bCs/>
        </w:rPr>
        <w:t xml:space="preserve">App version.</w:t>
      </w:r>
      <w:r>
        <w:t xml:space="preserve"> </w:t>
      </w:r>
      <w:r>
        <w:t xml:space="preserve">The app version on each export matches the version recorded in the software version log. That version is still to be confirmed.</w:t>
      </w:r>
    </w:p>
    <w:p>
      <w:pPr>
        <w:pStyle w:val="FirstParagraph"/>
      </w:pPr>
      <w:r>
        <w:rPr>
          <w:b/>
          <w:bCs/>
        </w:rPr>
        <w:t xml:space="preserve">Database lock.</w:t>
      </w:r>
      <w:r>
        <w:t xml:space="preserve"> </w:t>
      </w:r>
      <w:r>
        <w:t xml:space="preserve">The Chief Investigator and the data manager, once named, sign to confirm that pairing, transcription and export receipts are complete. The database is unlocked only with a reason recorded in a file note.</w:t>
      </w:r>
    </w:p>
    <w:p>
      <w:pPr>
        <w:pStyle w:val="BodyText"/>
      </w:pPr>
      <w:r>
        <w:t xml:space="preserve">Quality control is aimed at accurate transcription and never at</w:t>
      </w:r>
      <w:r>
        <w:t xml:space="preserve"> </w:t>
      </w:r>
      <w:r>
        <w:t xml:space="preserve">“correcting”</w:t>
      </w:r>
      <w:r>
        <w:t xml:space="preserve"> </w:t>
      </w:r>
      <w:r>
        <w:t xml:space="preserve">diaries towards a diagnosis. Queries are resolved against the source, meaning the participant’s worksheet or the Lazoo audit trail, and never through a clinician’s interpretation.</w:t>
      </w:r>
    </w:p>
    <w:bookmarkEnd w:id="36"/>
    <w:bookmarkStart w:id="37" w:name="data-protection-uk-gdpr"/>
    <w:p>
      <w:pPr>
        <w:pStyle w:val="Heading2"/>
      </w:pPr>
      <w:r>
        <w:t xml:space="preserve">9. Data protection (UK GDPR)</w:t>
      </w:r>
    </w:p>
    <w:p>
      <w:pPr>
        <w:pStyle w:val="FirstParagraph"/>
      </w:pPr>
      <w:r>
        <w:t xml:space="preserve">This section states the controller, the intended lawful basis and the outstanding gaps in the DPIA and the appointment of the Data Protection Officer.</w:t>
      </w:r>
    </w:p>
    <w:p>
      <w:pPr>
        <w:pStyle w:val="BodyText"/>
      </w:pPr>
      <w:r>
        <w:t xml:space="preserve">The controller is Sleep and Health Clinic App Ltd (12467350), 32 Watford Road, Northwood HA6 3NT. Contact: admin@sleepandhealth.org.</w:t>
      </w:r>
    </w:p>
    <w:p>
      <w:pPr>
        <w:pStyle w:val="BodyText"/>
      </w:pPr>
      <w:r>
        <w:t xml:space="preserve">The content of a sleep diary may be special category health data. The intended purpose is insomnia monitoring only, as decided by the sponsor on 13 October 2026, and the sponsor will confirm the wording of any clinical claims.</w:t>
      </w:r>
    </w:p>
    <w:p>
      <w:pPr>
        <w:pStyle w:val="BodyText"/>
      </w:pPr>
      <w:r>
        <w:rPr>
          <w:b/>
          <w:bCs/>
        </w:rPr>
        <w:t xml:space="preserve">Proposed lawful basis.</w:t>
      </w:r>
      <w:r>
        <w:t xml:space="preserve"> </w:t>
      </w: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The DPIA and the participant information sheet will be updated to match. Consent to take part, including consent choice 3, remains the ethical and common-law safeguard. As a private company, the sponsor will rely on legitimate interests rather than assume the Article 6(1)(e) public-task basis. Care provided at Sleep &amp; Health Clinic Ltd is a different processing purpose with a different controller.</w:t>
      </w:r>
    </w:p>
    <w:p>
      <w:pPr>
        <w:pStyle w:val="BodyText"/>
      </w:pPr>
      <w:r>
        <w:rPr>
          <w:b/>
          <w:bCs/>
        </w:rPr>
        <w:t xml:space="preserve">Addition, 24 October 2026 (heart rate, pending LAZ-IP-001-AMD-01).</w:t>
      </w:r>
      <w:r>
        <w:t xml:space="preserve"> </w:t>
      </w:r>
      <w:r>
        <w:t xml:space="preserve">The research basis above is unchanged. If heart rate is added to Lazoo, processing of heart rate within the product rests on consent under UK GDPR Article 6(1)(a), with explicit consent under Article 9(2)(a), separate from the research basis. Any research processing is subject to the safeguards in UK GDPR Articles 84A to 84D, which go with the research condition in Article 9(2)(j) and the Data Protection Act 2018, Schedule 1, paragraph 4. LAZ-VAL-001 collects no heart rate: protocol version 0.5 includes no wearable data, and the case report form keeps the wearable field empty. Data protection for heart rate in Lazoo is assessed in the draft data protection impact assessment CBT-14-HR-DPIA-2026-10-24, version 0.2 (/workspace/out/governance-2026-10-24/CBT-14-HR-DPIA-2026-10-24.md, sha256 ba0e21101aaf89547e5ba3959e20a60a4a55eae10db7e34aa6e71f587477cdc5), prepared by the Research Governance Manager of Sleep and Health Clinic App Ltd on 24 October 2026. Heart rate from CBT-14 is not processed for any real user until that assessment has been reviewed by Compliance and signed off.</w:t>
      </w:r>
    </w:p>
    <w:p>
      <w:pPr>
        <w:pStyle w:val="BodyText"/>
      </w:pPr>
      <w:r>
        <w:t xml:space="preserve">Dated note, 24 October 2026: the one exception is records needed for post-market surveillance and vigilance, which rest on legal obligation under Article 6(1)(c) with public health under Article 9(2)(i) (Data Protection Act 2018, Schedule 1, paragraph 3), as set out in CBT-14-HR-DPIA-2026-10-24, version 0.2, and LAZ-DPIA-001.</w:t>
      </w:r>
    </w:p>
    <w:p>
      <w:pPr>
        <w:pStyle w:val="BodyText"/>
      </w:pPr>
      <w:r>
        <w:t xml:space="preserve">Dated note, 24 October 2026 (round 6): the CBT-14 heart rate data protection impact assessment to cite now is CBT-14-HR-DPIA-2026-10-24, version 0.5.1: /workspace/out/governance-2026-10-24/CBT-14-HR-DPIA-v0.5.1-2026-10-24.md (sha256 41861d51f52ac2ff729ca0daffa39eb94f7d5c6486f0957d39f87fb7f49f53ea), with its Word copy /workspace/out/governance-2026-10-24/CBT-14-HR-DPIA-v0.5.1-2026-10-24.docx (sha256 c5b924fbec1eb8c957b14f15e7525e18c2a3204eecc55d9aa817205856e3cc2d). Version 0.5.1 has been passed by Compliance as a draft for sign-off, not approved, with sign-off pending Sara’s 25 October answers (Compliance re-check of about 17:42 London time, /workspace/compliance-reports/cbt14-hr-dpia-gate-2026-10-24.md). It is the dated cross-reference that version 0.5.1 asks for beside the heart rate addition and the note above, which cite version 0.2 and are kept as recorded. In Lazoo, version 0.5.1 recommends that the same consent basis also covers the core body temperature estimate, the circadian analysis and the pregnancy setting (its section 5); LAZ-VAL-001 collects none of these, and LAZ-VAL-001 itself is unchanged.</w:t>
      </w:r>
    </w:p>
    <w:p>
      <w:pPr>
        <w:pStyle w:val="BodyText"/>
      </w:pPr>
      <w:r>
        <w:rPr>
          <w:b/>
          <w:bCs/>
        </w:rPr>
        <w:t xml:space="preserve">Outstanding items.</w:t>
      </w:r>
      <w:r>
        <w:t xml:space="preserve"> </w:t>
      </w:r>
      <w:r>
        <w:t xml:space="preserve">The DPIA has not yet been completed, the Data Protection Officer has not yet been named, and the processor contracts (for hosting, for UCLH and for any supplier of an electronic case report form) have not yet been filed. Prolific acts as an independent controller of its account data and needs no data processing agreement; its terms will be reviewed and recorded. Identifiable data collection will start only once these are in place. Before the Chief Investigator signs, the sponsor will close the four items it owns: the recorded review of Prolific’s terms, a dated copy of those terms on file, a completed DPIA and a recorded regulation 16 decision.</w:t>
      </w:r>
    </w:p>
    <w:p>
      <w:pPr>
        <w:pStyle w:val="BodyText"/>
      </w:pPr>
      <w:r>
        <w:rPr>
          <w:b/>
          <w:bCs/>
        </w:rPr>
        <w:t xml:space="preserve">Rights.</w:t>
      </w:r>
      <w:r>
        <w:t xml:space="preserve"> </w:t>
      </w:r>
      <w:r>
        <w:t xml:space="preserve">Participants can exercise their rights of access and rectification through admin@sleepandhealth.org. Withdrawal of consent choice 3 stops future research use; data already in a locked analysis set cannot be withdrawn, and the participant information sheet will say so in plain language. Withdrawal of consent choice 1 means stopping use of the app, and local deletion or export is offered as far as the live app allows.</w:t>
      </w:r>
    </w:p>
    <w:p>
      <w:pPr>
        <w:pStyle w:val="BodyText"/>
      </w:pPr>
      <w:r>
        <w:rPr>
          <w:b/>
          <w:bCs/>
        </w:rPr>
        <w:t xml:space="preserve">Future use.</w:t>
      </w:r>
      <w:r>
        <w:t xml:space="preserve"> </w:t>
      </w:r>
      <w:r>
        <w:t xml:space="preserve">Consent choice 4 (future clinical tools or models) is off for this study unless an amendment says otherwise. NHS data that identify patients are not collected. A future model will be trained on these data only with consent choice 4, a protocol that says so, and ethics approval.</w:t>
      </w:r>
    </w:p>
    <w:p>
      <w:pPr>
        <w:pStyle w:val="BodyText"/>
      </w:pPr>
      <w:r>
        <w:t xml:space="preserve">The privacy and controller contact is the sponsor’s study address, admin@sleepandhealth.org, rather than an NHS or clinic Patient Advice and Liaison Service line or a personal email account.</w:t>
      </w:r>
    </w:p>
    <w:p>
      <w:pPr>
        <w:pStyle w:val="BodyText"/>
      </w:pPr>
      <w:r>
        <w:t xml:space="preserve">UCLH’s intended role as processor and the rules for outbound sharing are set out in section 5.</w:t>
      </w:r>
    </w:p>
    <w:bookmarkEnd w:id="37"/>
    <w:bookmarkStart w:id="38" w:name="retention-archiving-and-destruction"/>
    <w:p>
      <w:pPr>
        <w:pStyle w:val="Heading2"/>
      </w:pPr>
      <w:r>
        <w:t xml:space="preserve">10. Retention, archiving and destruction</w:t>
      </w:r>
    </w:p>
    <w:p>
      <w:pPr>
        <w:pStyle w:val="FirstParagraph"/>
      </w:pPr>
      <w:r>
        <w:t xml:space="preserve">This section sets retention periods that match the sponsor’s standard operating procedure for the clinical master file, without importing by default the 25-year period that applies to clinical trials of investigational medicinal products.</w:t>
      </w:r>
    </w:p>
    <w:p>
      <w:pPr>
        <w:pStyle w:val="BodyText"/>
      </w:pPr>
      <w:r>
        <w:t xml:space="preserve">Essential records, meaning the protocol, the participant information sheet and consent form, the case report form, the exports as archived, the data management plan, the approvals and, once held, the insurance certificate, are kept for at least 10 years after the signed study report, or longer if a licence contract or the research ethics committee requires it.</w:t>
      </w:r>
    </w:p>
    <w:p>
      <w:pPr>
        <w:pStyle w:val="BodyText"/>
      </w:pPr>
      <w:r>
        <w:t xml:space="preserve">Participant-level research data are kept for the period stated in the participant information sheet and the DPIA. The default is 10 years, unless the DPIA sets a shorter or longer period.</w:t>
      </w:r>
    </w:p>
    <w:p>
      <w:pPr>
        <w:pStyle w:val="BodyText"/>
      </w:pPr>
      <w:r>
        <w:t xml:space="preserve">This is not a clinical trial of an investigational medicinal product, so the 25-year statutory period for its trial master file does not apply by default.</w:t>
      </w:r>
    </w:p>
    <w:p>
      <w:pPr>
        <w:pStyle w:val="BodyText"/>
      </w:pPr>
      <w:r>
        <w:t xml:space="preserve">At the end of the retention period, the Chief Investigator and the archivist record what has been destroyed. Consent records are kept at least as long as the data they relate to.</w:t>
      </w:r>
    </w:p>
    <w:p>
      <w:pPr>
        <w:pStyle w:val="BodyText"/>
      </w:pPr>
      <w:r>
        <w:t xml:space="preserve">There is one product, and this study is not rewritten into a second file. Nothing in this plan is frozen, and it remains a working draft with open items to be confirmed. No artificial intelligence validation report or clinical evaluation report is archived against this plan.</w:t>
      </w:r>
    </w:p>
    <w:p>
      <w:pPr>
        <w:pStyle w:val="BodyText"/>
      </w:pPr>
      <w:r>
        <w:t xml:space="preserve">A named archivist is still to be appointed, and the Chief Investigator holds the duty until then. A durable storage location is still to be authorised. The research insurance certificate is still to be filed, and its retention period starts when it exists. [PLACEHOLDER: named archivist and authorised archive location]</w:t>
      </w:r>
    </w:p>
    <w:p>
      <w:pPr>
        <w:pStyle w:val="BodyText"/>
      </w:pPr>
      <w:r>
        <w:t xml:space="preserve">End of data management plan LAZ-VAL-001, version 0.4 (12 October 2026).</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2026-10-24T16:47:51Z</dcterms:created>
  <dcterms:modified xsi:type="dcterms:W3CDTF">2026-10-24T16:47:51Z</dcterms:modified>
</cp:coreProperties>
</file>

<file path=docProps/custom.xml><?xml version="1.0" encoding="utf-8"?>
<Properties xmlns="http://schemas.openxmlformats.org/officeDocument/2006/custom-properties" xmlns:vt="http://schemas.openxmlformats.org/officeDocument/2006/docPropsVTypes"/>
</file>