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X21ac9d2a9412f1d4419d730826db2963c0ad1cb"/>
    <w:p>
      <w:pPr>
        <w:pStyle w:val="Heading1"/>
      </w:pPr>
      <w:r>
        <w:t xml:space="preserve">Prolific and MHRA notes for the Lazoo validation study</w:t>
      </w:r>
    </w:p>
    <w:p>
      <w:pPr>
        <w:pStyle w:val="FirstParagraph"/>
      </w:pPr>
      <w:r>
        <w:rPr>
          <w:b/>
          <w:bCs/>
        </w:rPr>
        <w:t xml:space="preserve">Document:</w:t>
      </w:r>
      <w:r>
        <w:t xml:space="preserve"> </w:t>
      </w:r>
      <w:r>
        <w:t xml:space="preserve">LAZ-VAL-001 Prolific and MHRA research notes</w:t>
      </w:r>
      <w:r>
        <w:t xml:space="preserve"> </w:t>
      </w:r>
      <w:r>
        <w:rPr>
          <w:b/>
          <w:bCs/>
        </w:rPr>
        <w:t xml:space="preserve">File date:</w:t>
      </w:r>
      <w:r>
        <w:t xml:space="preserve"> </w:t>
      </w:r>
      <w:r>
        <w:t xml:space="preserve">14 October 2026 (the date requested for the study pack)</w:t>
      </w:r>
      <w:r>
        <w:t xml:space="preserve"> </w:t>
      </w:r>
      <w:r>
        <w:rPr>
          <w:b/>
          <w:bCs/>
        </w:rPr>
        <w:t xml:space="preserve">Sources read:</w:t>
      </w:r>
      <w:r>
        <w:t xml:space="preserve"> </w:t>
      </w:r>
      <w:r>
        <w:t xml:space="preserve">12 October 2026, unless a source itself prints an earlier</w:t>
      </w:r>
      <w:r>
        <w:t xml:space="preserve"> </w:t>
      </w:r>
      <w:r>
        <w:t xml:space="preserve">“last updated”</w:t>
      </w:r>
      <w:r>
        <w:t xml:space="preserve"> </w:t>
      </w:r>
      <w:r>
        <w:t xml:space="preserve">date, which is then given with the quotation</w:t>
      </w:r>
      <w:r>
        <w:t xml:space="preserve"> </w:t>
      </w:r>
      <w:r>
        <w:rPr>
          <w:b/>
          <w:bCs/>
        </w:rPr>
        <w:t xml:space="preserve">Audience:</w:t>
      </w:r>
      <w:r>
        <w:t xml:space="preserve"> </w:t>
      </w:r>
      <w:r>
        <w:t xml:space="preserve">the clinical research team at Sleep and Health Clinic App Ltd</w:t>
      </w:r>
      <w:r>
        <w:t xml:space="preserve"> </w:t>
      </w:r>
      <w:r>
        <w:rPr>
          <w:b/>
          <w:bCs/>
        </w:rPr>
        <w:t xml:space="preserve">Status:</w:t>
      </w:r>
      <w:r>
        <w:t xml:space="preserve"> </w:t>
      </w:r>
      <w:r>
        <w:t xml:space="preserve">Research notes to support the drafting of the protocol. These notes are not legal advice, an MHRA opinion or a Prolific approval, and they make no decisions. The decisions for sections 3 and 16 of the protocol rest with Sara McNeillis as sponsor.</w:t>
      </w:r>
    </w:p>
    <w:bookmarkStart w:id="20" w:name="facts-on-which-these-notes-rely"/>
    <w:p>
      <w:pPr>
        <w:pStyle w:val="Heading2"/>
      </w:pPr>
      <w:r>
        <w:t xml:space="preserve">Facts on which these notes rely</w:t>
      </w:r>
    </w:p>
    <w:p>
      <w:pPr>
        <w:pStyle w:val="FirstParagraph"/>
      </w:pPr>
      <w:r>
        <w:t xml:space="preserve">The notes rest on the following facts about the study.</w:t>
      </w:r>
    </w:p>
    <w:p>
      <w:pPr>
        <w:pStyle w:val="BodyText"/>
      </w:pPr>
      <w:r>
        <w:t xml:space="preserve">Lazoo is smartphone software that its UK manufacturer, Sleep and Health Clinic App Ltd (company number 12467350), positions as a Class IIa software medical device under the Medicines and Healthcare products Regulatory Agency (MHRA) rules. The Companies House record was not checked again for these notes.</w:t>
      </w:r>
    </w:p>
    <w:p>
      <w:pPr>
        <w:pStyle w:val="BodyText"/>
      </w:pPr>
      <w:r>
        <w:t xml:space="preserve">The intended use stated for this study is insomnia monitoring only (sponsor decision, 13 October 2026), with no therapy. Sleep and Health Clinic App Ltd is the sole sponsor and the sole funder.</w:t>
      </w:r>
    </w:p>
    <w:p>
      <w:pPr>
        <w:pStyle w:val="BodyText"/>
      </w:pPr>
      <w:r>
        <w:t xml:space="preserve">A UK NHS hospital, University College London Hospitals NHS Foundation Trust (UCLH), is named in version 0.5 of the protocol as the intended NHS partner site, still to be confirmed. It would be a paid subcontracted site and a data processor. The hospital, and whether it would act as a research site or only as a processor, are</w:t>
      </w:r>
      <w:r>
        <w:t xml:space="preserve"> </w:t>
      </w:r>
      <w:r>
        <w:rPr>
          <w:b/>
          <w:bCs/>
        </w:rPr>
        <w:t xml:space="preserve">not confirmed</w:t>
      </w:r>
      <w:r>
        <w:t xml:space="preserve">.</w:t>
      </w:r>
    </w:p>
    <w:p>
      <w:pPr>
        <w:pStyle w:val="BodyText"/>
      </w:pPr>
      <w:r>
        <w:t xml:space="preserve">Participants are healthy volunteers and volunteers with insomnia, recruited on Prolific (prolific.com), and not clinic patients.</w:t>
      </w:r>
    </w:p>
    <w:p>
      <w:pPr>
        <w:pStyle w:val="BodyText"/>
      </w:pPr>
      <w:r>
        <w:t xml:space="preserve">Lazoo’s intended purpose includes use in pregnancy (sponsor decision, 13 October 2026). Pregnancy is excluded from this validation study because it will be covered in its own separate study. Prolific’s published documents do not mention pregnancy. A screening question about pregnancy collects special category data and is treated as such below.</w:t>
      </w:r>
    </w:p>
    <w:p>
      <w:pPr>
        <w:pStyle w:val="BodyText"/>
      </w:pPr>
      <w:r>
        <w:t xml:space="preserve">The device is treated as</w:t>
      </w:r>
      <w:r>
        <w:t xml:space="preserve"> </w:t>
      </w:r>
      <w:r>
        <w:rPr>
          <w:b/>
          <w:bCs/>
        </w:rPr>
        <w:t xml:space="preserve">not UKCA-marked</w:t>
      </w:r>
      <w:r>
        <w:t xml:space="preserve">. Scenario 1 says so, and Scenario 2 does not say that a mark has been added.</w:t>
      </w:r>
    </w:p>
    <w:p>
      <w:pPr>
        <w:pStyle w:val="BodyText"/>
      </w:pPr>
      <w:r>
        <w:t xml:space="preserve">Great Britain (England, Wales and Scotland) is the working assumption, because the only hospital named is a possible London trust. A site in Northern Ireland would follow the EU Medical Device Regulation instead; that route is flagged here but not worked through.</w:t>
      </w:r>
    </w:p>
    <w:bookmarkEnd w:id="20"/>
    <w:bookmarkStart w:id="21" w:name="how-to-read-the-labels"/>
    <w:p>
      <w:pPr>
        <w:pStyle w:val="Heading2"/>
      </w:pPr>
      <w:r>
        <w:t xml:space="preserve">How to read the labels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Label</w:t>
            </w:r>
          </w:p>
        </w:tc>
        <w:tc>
          <w:tcPr/>
          <w:p>
            <w:pPr>
              <w:pStyle w:val="Compact"/>
            </w:pPr>
            <w:r>
              <w:t xml:space="preserve">Meaning</w:t>
            </w:r>
          </w:p>
        </w:tc>
      </w:tr>
      <w:tr>
        <w:tc>
          <w:tcPr/>
          <w:p>
            <w:pPr>
              <w:pStyle w:val="Compact"/>
            </w:pPr>
            <w:r>
              <w:rPr>
                <w:b/>
                <w:bCs/>
              </w:rPr>
              <w:t xml:space="preserve">Legal requirement</w:t>
            </w:r>
          </w:p>
        </w:tc>
        <w:tc>
          <w:tcPr/>
          <w:p>
            <w:pPr>
              <w:pStyle w:val="Compact"/>
            </w:pPr>
            <w:r>
              <w:t xml:space="preserve">Text of the Medical Devices Regulations 2002 (SI 2002/618, as amended) or of the UK General Data Protection Regulation (UK GDPR), as published.</w:t>
            </w:r>
          </w:p>
        </w:tc>
      </w:tr>
      <w:tr>
        <w:tc>
          <w:tcPr/>
          <w:p>
            <w:pPr>
              <w:pStyle w:val="Compact"/>
            </w:pPr>
            <w:r>
              <w:rPr>
                <w:b/>
                <w:bCs/>
              </w:rPr>
              <w:t xml:space="preserve">Regulator guidance</w:t>
            </w:r>
          </w:p>
        </w:tc>
        <w:tc>
          <w:tcPr/>
          <w:p>
            <w:pPr>
              <w:pStyle w:val="Compact"/>
            </w:pPr>
            <w:r>
              <w:t xml:space="preserve">Guidance published by the MHRA, the Health Research Authority (HRA) or the Information Commissioner’s Office (ICO). It states the regulator’s position but is not itself the statute.</w:t>
            </w:r>
          </w:p>
        </w:tc>
      </w:tr>
      <w:tr>
        <w:tc>
          <w:tcPr/>
          <w:p>
            <w:pPr>
              <w:pStyle w:val="Compact"/>
            </w:pPr>
            <w:r>
              <w:rPr>
                <w:b/>
                <w:bCs/>
              </w:rPr>
              <w:t xml:space="preserve">Prolific’s terms</w:t>
            </w:r>
          </w:p>
        </w:tc>
        <w:tc>
          <w:tcPr/>
          <w:p>
            <w:pPr>
              <w:pStyle w:val="Compact"/>
            </w:pPr>
            <w:r>
              <w:t xml:space="preserve">Prolific’s own contract or help-centre text.</w:t>
            </w:r>
          </w:p>
        </w:tc>
      </w:tr>
      <w:tr>
        <w:tc>
          <w:tcPr/>
          <w:p>
            <w:pPr>
              <w:pStyle w:val="Compact"/>
            </w:pPr>
            <w:r>
              <w:rPr>
                <w:b/>
                <w:bCs/>
              </w:rPr>
              <w:t xml:space="preserve">INFERENCE</w:t>
            </w:r>
          </w:p>
        </w:tc>
        <w:tc>
          <w:tcPr/>
          <w:p>
            <w:pPr>
              <w:pStyle w:val="Compact"/>
            </w:pPr>
            <w:r>
              <w:t xml:space="preserve">A reading that combines cited texts. It is not a decision and not a finding by the MHRA or Prolific. Sara, as sponsor, accepts or rejects it for sections 3 and 16 of the protocol.</w:t>
            </w:r>
          </w:p>
        </w:tc>
      </w:tr>
      <w:tr>
        <w:tc>
          <w:tcPr/>
          <w:p>
            <w:pPr>
              <w:pStyle w:val="Compact"/>
            </w:pPr>
            <w:r>
              <w:rPr>
                <w:b/>
                <w:bCs/>
              </w:rPr>
              <w:t xml:space="preserve">Opinion</w:t>
            </w:r>
          </w:p>
        </w:tc>
        <w:tc>
          <w:tcPr/>
          <w:p>
            <w:pPr>
              <w:pStyle w:val="Compact"/>
            </w:pPr>
            <w:r>
              <w:t xml:space="preserve">A narrower comment on how a source might be used, not confirmed by the MHRA, a court or Prolific.</w:t>
            </w:r>
          </w:p>
        </w:tc>
      </w:tr>
      <w:tr>
        <w:tc>
          <w:tcPr/>
          <w:p>
            <w:pPr>
              <w:pStyle w:val="Compact"/>
            </w:pPr>
            <w:r>
              <w:rPr>
                <w:b/>
                <w:bCs/>
              </w:rPr>
              <w:t xml:space="preserve">Not confirmed</w:t>
            </w:r>
          </w:p>
        </w:tc>
        <w:tc>
          <w:tcPr/>
          <w:p>
            <w:pPr>
              <w:pStyle w:val="Compact"/>
            </w:pPr>
            <w:r>
              <w:t xml:space="preserve">Looked for and not found in the sources read, or the source was incomplete.</w:t>
            </w:r>
          </w:p>
        </w:tc>
      </w:tr>
      <w:tr>
        <w:tc>
          <w:tcPr/>
          <w:p>
            <w:pPr>
              <w:pStyle w:val="Compact"/>
            </w:pPr>
            <w:r>
              <w:rPr>
                <w:b/>
                <w:bCs/>
              </w:rPr>
              <w:t xml:space="preserve">Unverified</w:t>
            </w:r>
          </w:p>
        </w:tc>
        <w:tc>
          <w:tcPr/>
          <w:p>
            <w:pPr>
              <w:pStyle w:val="Compact"/>
            </w:pPr>
            <w:r>
              <w:t xml:space="preserve">The claim was not tied to a dated primary page.</w:t>
            </w:r>
          </w:p>
        </w:tc>
      </w:tr>
    </w:tbl>
    <w:p>
      <w:pPr>
        <w:pStyle w:val="BodyText"/>
      </w:pPr>
      <w:r>
        <w:t xml:space="preserve">Legislation.gov.uk warns that revised text may not be fully up to date. The page for regulation 29 states that it is up to date with all changes known to be in force on or before</w:t>
      </w:r>
      <w:r>
        <w:t xml:space="preserve"> </w:t>
      </w:r>
      <w:r>
        <w:rPr>
          <w:b/>
          <w:bCs/>
        </w:rPr>
        <w:t xml:space="preserve">18 June 2026</w:t>
      </w:r>
      <w:r>
        <w:t xml:space="preserve">, and that changes may be brought into force at a future date. The quotations from regulations 16 and 2 below are taken from the revised Great Britain text on the same site, accessed on 12 October 2026. The only clause numbers used below are those printed in those sources.</w:t>
      </w:r>
    </w:p>
    <w:p>
      <w:r>
        <w:pict>
          <v:rect style="width:0;height:1.5pt" o:hralign="center" o:hrstd="t" o:hr="t"/>
        </w:pict>
      </w:r>
    </w:p>
    <w:bookmarkEnd w:id="21"/>
    <w:bookmarkStart w:id="30" w:name="part-a-prolific"/>
    <w:p>
      <w:pPr>
        <w:pStyle w:val="Heading2"/>
      </w:pPr>
      <w:r>
        <w:t xml:space="preserve">Part A: Prolific</w:t>
      </w:r>
    </w:p>
    <w:p>
      <w:pPr>
        <w:pStyle w:val="FirstParagraph"/>
      </w:pPr>
      <w:r>
        <w:t xml:space="preserve">Prolific’s legal documents are published in its handbook on the Notion platform, and its help centre is Prolific’s own commentary on those documents; both are cited here. The company named on the help centre is Prolific Academic Ltd, 483 Green Lanes, London, N13 4BS, company number 8991598. The Researcher Terms also name Prolific Research USA Inc. as a licensee of researcher branding.</w:t>
      </w:r>
    </w:p>
    <w:p>
      <w:pPr>
        <w:pStyle w:val="BodyText"/>
      </w:pPr>
      <w:r>
        <w:t xml:space="preserve">The primary web addresses, all accessed on 12 October 2026, are:</w:t>
      </w:r>
    </w:p>
    <w:p>
      <w:pPr>
        <w:pStyle w:val="Compact"/>
        <w:numPr>
          <w:ilvl w:val="0"/>
          <w:numId w:val="1001"/>
        </w:numPr>
      </w:pPr>
      <w:r>
        <w:t xml:space="preserve">Researcher Terms, including the Survey Builder supplementary terms: https://prolific.notion.site/Researcher-Terms-7787f102f0c541bdbe2c04b5d3285acb</w:t>
      </w:r>
    </w:p>
    <w:p>
      <w:pPr>
        <w:pStyle w:val="Compact"/>
        <w:numPr>
          <w:ilvl w:val="0"/>
          <w:numId w:val="1001"/>
        </w:numPr>
      </w:pPr>
      <w:r>
        <w:t xml:space="preserve">Privacy and legal handbook: https://www.prolific.com/privacy-and-legal and https://prolific.notion.site/Privacy-and-Legal-at-Prolific-395a0b3414cd4d84a2557566256e3d58</w:t>
      </w:r>
    </w:p>
    <w:p>
      <w:pPr>
        <w:pStyle w:val="Compact"/>
        <w:numPr>
          <w:ilvl w:val="0"/>
          <w:numId w:val="1001"/>
        </w:numPr>
      </w:pPr>
      <w:r>
        <w:t xml:space="preserve">More data-protection information (the index only; the expandable sections did not load): https://prolific.notion.site/More-Data-Protection-Information-c111bbbf46af49afb1e0196831b8da4b</w:t>
      </w:r>
    </w:p>
    <w:p>
      <w:pPr>
        <w:pStyle w:val="FirstParagraph"/>
      </w:pPr>
      <w:r>
        <w:t xml:space="preserve">The Survey Builder supplementary terms print</w:t>
      </w:r>
      <w:r>
        <w:t xml:space="preserve"> </w:t>
      </w:r>
      <w:r>
        <w:rPr>
          <w:b/>
          <w:bCs/>
        </w:rPr>
        <w:t xml:space="preserve">“Last updated: 11 August 2022”</w:t>
      </w:r>
      <w:r>
        <w:t xml:space="preserve">, and they were still the text published on the Researcher Terms page on 12 October 2026. Help-centre articles carry later dates, which are given under each quotation.</w:t>
      </w:r>
    </w:p>
    <w:bookmarkStart w:id="22" w:name="X8f843351c8ac61d5338ac4aa18236ba8358441d"/>
    <w:p>
      <w:pPr>
        <w:pStyle w:val="Heading3"/>
      </w:pPr>
      <w:r>
        <w:t xml:space="preserve">A1. Who is controller and who is processor</w:t>
      </w:r>
    </w:p>
    <w:p>
      <w:pPr>
        <w:pStyle w:val="FirstParagraph"/>
      </w:pPr>
      <w:r>
        <w:rPr>
          <w:b/>
          <w:bCs/>
        </w:rPr>
        <w:t xml:space="preserve">External studies.</w:t>
      </w:r>
      <w:r>
        <w:t xml:space="preserve"> </w:t>
      </w:r>
      <w:r>
        <w:t xml:space="preserve">These notes assume an external study design, which is for Sara to decide. In an external study, Prolific is the controller of account data, and the researcher is a separate controller of the participant data it receives and of the study responses. Prolific says that it neither sees nor stores those responses.</w:t>
      </w:r>
    </w:p>
    <w:p>
      <w:pPr>
        <w:pStyle w:val="BodyText"/>
      </w:pPr>
      <w:r>
        <w:t xml:space="preserve">Researcher Terms, section N, Data Protection:</w:t>
      </w:r>
    </w:p>
    <w:p>
      <w:pPr>
        <w:pStyle w:val="BlockText"/>
      </w:pPr>
      <w:r>
        <w:t xml:space="preserve">“Personal data related to you, like your account registration information, contact details and any correspondence with us, will be held by us and used in accordance with our Privacy Notice. We are a data controller in relation to that personal data.”</w:t>
      </w:r>
    </w:p>
    <w:p>
      <w:pPr>
        <w:pStyle w:val="BlockText"/>
      </w:pPr>
      <w:r>
        <w:t xml:space="preserve">“You will be a data controller in your own right in relation to that personal data, and it is your responsibility to make sure that your collection and use of that personal data complies with applicable law.”</w:t>
      </w:r>
    </w:p>
    <w:p>
      <w:pPr>
        <w:pStyle w:val="BlockText"/>
      </w:pPr>
      <w:r>
        <w:t xml:space="preserve">“When you conduct Studies off-platform, you will receive Study responses from the Participant.”</w:t>
      </w:r>
    </w:p>
    <w:p>
      <w:pPr>
        <w:pStyle w:val="FirstParagraph"/>
      </w:pPr>
      <w:r>
        <w:t xml:space="preserve">Help centre,</w:t>
      </w:r>
      <w:r>
        <w:t xml:space="preserve"> </w:t>
      </w:r>
      <w:r>
        <w:t xml:space="preserve">“Prolific supplier/vendor information”</w:t>
      </w:r>
      <w:r>
        <w:t xml:space="preserve">, 23 June 2026, https://researcher-help.prolific.com/en/articles/445120-prolific-supplier-vendor-information:</w:t>
      </w:r>
    </w:p>
    <w:p>
      <w:pPr>
        <w:pStyle w:val="BlockText"/>
      </w:pPr>
      <w:r>
        <w:t xml:space="preserve">“No, we do not act as a data processor. All of the personal data associated with any user’s account (whether participants or researchers) is personal data of which Prolific is a controller, as we process it for our own business purposes (primarily the purposes of offering our platform services to users concerned). We do not host studies or otherwise process data on behalf of our researcher users.”</w:t>
      </w:r>
    </w:p>
    <w:p>
      <w:pPr>
        <w:pStyle w:val="FirstParagraph"/>
      </w:pPr>
      <w:r>
        <w:t xml:space="preserve">Help centre,</w:t>
      </w:r>
      <w:r>
        <w:t xml:space="preserve"> </w:t>
      </w:r>
      <w:r>
        <w:t xml:space="preserve">“IRB applications and ethics approval”</w:t>
      </w:r>
      <w:r>
        <w:t xml:space="preserve">, 4 August 2026, https://researcher-help.prolific.com/en/articles/449628-irb-applications-and-ethics-approval:</w:t>
      </w:r>
    </w:p>
    <w:p>
      <w:pPr>
        <w:pStyle w:val="BlockText"/>
      </w:pPr>
      <w:r>
        <w:t xml:space="preserve">“Prolific can only see the name and description for your study, and any other inputted data within the Prolific app, such as demographic filters selected and the link to your study. Prolific cannot see or store the responses participants give you.”</w:t>
      </w:r>
    </w:p>
    <w:p>
      <w:pPr>
        <w:pStyle w:val="FirstParagraph"/>
      </w:pPr>
      <w:r>
        <w:rPr>
          <w:b/>
          <w:bCs/>
        </w:rPr>
        <w:t xml:space="preserve">Survey Builder is the exception.</w:t>
      </w:r>
      <w:r>
        <w:t xml:space="preserve"> </w:t>
      </w:r>
      <w:r>
        <w:t xml:space="preserve">If the questions are hosted inside Prolific, Prolific says that it becomes the researcher’s processor for the submissions, while the researcher remains the controller.</w:t>
      </w:r>
    </w:p>
    <w:p>
      <w:pPr>
        <w:pStyle w:val="BodyText"/>
      </w:pPr>
      <w:r>
        <w:t xml:space="preserve">Survey Builder supplementary terms:</w:t>
      </w:r>
    </w:p>
    <w:p>
      <w:pPr>
        <w:pStyle w:val="BlockText"/>
      </w:pPr>
      <w:r>
        <w:t xml:space="preserve">“We’re a data processor. In relation to Participants’ Submissions, we are acting as your data processor for the purposes of applicable data protection law.”</w:t>
      </w:r>
    </w:p>
    <w:p>
      <w:pPr>
        <w:pStyle w:val="BlockText"/>
      </w:pPr>
      <w:r>
        <w:t xml:space="preserve">“You’re a data controller: As a reminder – just like under the Researcher Terms, you will be the data controller in relation to any personal data you receive in relation to Participants through your use of Prolific.”</w:t>
      </w:r>
    </w:p>
    <w:p>
      <w:pPr>
        <w:pStyle w:val="FirstParagraph"/>
      </w:pPr>
      <w:r>
        <w:rPr>
          <w:b/>
          <w:bCs/>
        </w:rPr>
        <w:t xml:space="preserve">For Sara to decide.</w:t>
      </w:r>
      <w:r>
        <w:t xml:space="preserve"> </w:t>
      </w:r>
      <w:r>
        <w:t xml:space="preserve">One design that matches these terms is to run the insomnia questions, the pregnancy screen and the app task on software outside Prolific, and to use Prolific to recruit, message and pay participants. On that design Prolific is not the processor of the special category data, and Sleep and Health Clinic App Ltd is the controller of that data. Prolific’s position as controller of account data does not settle the lawful basis for Sleep and Health Clinic App Ltd, which stays as</w:t>
      </w:r>
      <w:r>
        <w:t xml:space="preserve"> </w:t>
      </w:r>
      <w:r>
        <w:rPr>
          <w:b/>
          <w:bCs/>
        </w:rPr>
        <w:t xml:space="preserve">legitimate interests (proposed), to be confirmed by the Data Protection Officer</w:t>
      </w:r>
      <w:r>
        <w:t xml:space="preserve">. If the NHS trust processes that data only on the sponsor’s instructions, it would be a processor and would need its own contract with Sleep and Health Clinic App Ltd under Article 28 of the UK GDPR; that contract is not a Prolific document. If the trust decides clinical care or research purposes for itself, the analysis of who is controller changes. That role is</w:t>
      </w:r>
      <w:r>
        <w:t xml:space="preserve"> </w:t>
      </w:r>
      <w:r>
        <w:rPr>
          <w:b/>
          <w:bCs/>
        </w:rPr>
        <w:t xml:space="preserve">not confirmed</w:t>
      </w:r>
      <w:r>
        <w:t xml:space="preserve">.</w:t>
      </w:r>
    </w:p>
    <w:bookmarkEnd w:id="22"/>
    <w:bookmarkStart w:id="23" w:name="X22552599a4966a675a235c30a78f8d2483c6a14"/>
    <w:p>
      <w:pPr>
        <w:pStyle w:val="Heading3"/>
      </w:pPr>
      <w:r>
        <w:t xml:space="preserve">A2. Whether there is a standard data processing agreement, and how to obtain it</w:t>
      </w:r>
    </w:p>
    <w:p>
      <w:pPr>
        <w:pStyle w:val="FirstParagraph"/>
      </w:pPr>
      <w:r>
        <w:rPr>
          <w:b/>
          <w:bCs/>
        </w:rPr>
        <w:t xml:space="preserve">For an ordinary external study there is no data processing agreement to sign.</w:t>
      </w:r>
      <w:r>
        <w:t xml:space="preserve"> </w:t>
      </w:r>
      <w:r>
        <w:t xml:space="preserve">Prolific’s position is that Article 28 of the UK GDPR does not require one, because Prolific is not a processor.</w:t>
      </w:r>
    </w:p>
    <w:p>
      <w:pPr>
        <w:pStyle w:val="BodyText"/>
      </w:pPr>
      <w:r>
        <w:t xml:space="preserve">The same supplier article, 23 June 2026:</w:t>
      </w:r>
    </w:p>
    <w:p>
      <w:pPr>
        <w:pStyle w:val="BlockText"/>
      </w:pPr>
      <w:r>
        <w:t xml:space="preserve">“There is, therefore, no requirement for a data processing agreement to be in place under Article 28 UK GDPR.”</w:t>
      </w:r>
    </w:p>
    <w:p>
      <w:pPr>
        <w:pStyle w:val="FirstParagraph"/>
      </w:pPr>
      <w:r>
        <w:t xml:space="preserve">The same article says that Prolific will not sign a sponsor’s own purchasing terms:</w:t>
      </w:r>
    </w:p>
    <w:p>
      <w:pPr>
        <w:pStyle w:val="BlockText"/>
      </w:pPr>
      <w:r>
        <w:t xml:space="preserve">“Use of Prolific is governed by our Researcher Terms and we are unable to enter into additional contracts and agreements (particular when not under English law).”</w:t>
      </w:r>
    </w:p>
    <w:p>
      <w:pPr>
        <w:pStyle w:val="BlockText"/>
      </w:pPr>
      <w:r>
        <w:t xml:space="preserve">“We simply can’t contract other than on the basis of our standard terms. What we can do, however, is look at very limited amendments to our standard terms which are absolutely necessary in order for our users to meet their constitutional requirements or local legal requirements - we have a standard-form amendment which we can use to agree and document those items if needed.”</w:t>
      </w:r>
    </w:p>
    <w:p>
      <w:pPr>
        <w:pStyle w:val="FirstParagraph"/>
      </w:pPr>
      <w:r>
        <w:rPr>
          <w:b/>
          <w:bCs/>
        </w:rPr>
        <w:t xml:space="preserve">The only standard data processing agreement is already contained in the Survey Builder terms.</w:t>
      </w:r>
      <w:r>
        <w:t xml:space="preserve"> </w:t>
      </w:r>
      <w:r>
        <w:t xml:space="preserve">It is accepted by using Survey Builder, and it is not a separate document that the sponsor negotiates.</w:t>
      </w:r>
    </w:p>
    <w:p>
      <w:pPr>
        <w:pStyle w:val="BodyText"/>
      </w:pPr>
      <w:r>
        <w:t xml:space="preserve">IRB article, 4 August 2026:</w:t>
      </w:r>
    </w:p>
    <w:p>
      <w:pPr>
        <w:pStyle w:val="BlockText"/>
      </w:pPr>
      <w:r>
        <w:t xml:space="preserve">“The exception to this is if you use Prolific’s built-in Survey Builder tool to list your study. In this case, we will act as your data processor in relation to the contents of any submissions from participants. We’ve already included a DPA in our Survey Builder - Supplementary Terms to cover this, so that when you use Survey Builder that’s already incorporated into your agreement with us.”</w:t>
      </w:r>
    </w:p>
    <w:p>
      <w:pPr>
        <w:pStyle w:val="FirstParagraph"/>
      </w:pPr>
      <w:r>
        <w:t xml:space="preserve">Survey Builder terms:</w:t>
      </w:r>
    </w:p>
    <w:p>
      <w:pPr>
        <w:pStyle w:val="BlockText"/>
      </w:pPr>
      <w:r>
        <w:t xml:space="preserve">“We will be your data processor in relation to Submissions received through Survey Builder. That means that these terms, which are part of a contract between you and us, have to contain certain prescribed wording specified in Article 28 GDPR as follows…”</w:t>
      </w:r>
    </w:p>
    <w:p>
      <w:pPr>
        <w:pStyle w:val="FirstParagraph"/>
      </w:pPr>
      <w:r>
        <w:t xml:space="preserve">The Article 28 wording that follows covers documented instructions, confidentiality, security, help with the rights of data subjects, help with Articles 32 to 36 of the GDPR, deletion or return of data, audits and a list of sub-processors. It also says:</w:t>
      </w:r>
    </w:p>
    <w:p>
      <w:pPr>
        <w:pStyle w:val="BlockText"/>
      </w:pPr>
      <w:r>
        <w:t xml:space="preserve">“The personal data we will process on your behalf are the contents of Submissions relating to Studies launched on Survey Builder. This personal data will not include any special categories of data.”</w:t>
      </w:r>
    </w:p>
    <w:p>
      <w:pPr>
        <w:pStyle w:val="FirstParagraph"/>
      </w:pPr>
      <w:r>
        <w:rPr>
          <w:b/>
          <w:bCs/>
        </w:rPr>
        <w:t xml:space="preserve">For Sara to decide.</w:t>
      </w:r>
      <w:r>
        <w:t xml:space="preserve"> </w:t>
      </w:r>
      <w:r>
        <w:t xml:space="preserve">On Prolific’s published position there is no separate data processing agreement to sign for an external study. Whether to ask for the standard-form amendment is Sara’s decision. The Survey Builder terms say that submissions will not include special category data, so these notes treat Survey Builder as unsuitable for questions about insomnia, diagnosis or pregnancy.</w:t>
      </w:r>
    </w:p>
    <w:bookmarkEnd w:id="23"/>
    <w:bookmarkStart w:id="24" w:name="a3.-international-transfers-uk-eu-and-us"/>
    <w:p>
      <w:pPr>
        <w:pStyle w:val="Heading3"/>
      </w:pPr>
      <w:r>
        <w:t xml:space="preserve">A3. International transfers: UK, EU and US</w:t>
      </w:r>
    </w:p>
    <w:p>
      <w:pPr>
        <w:pStyle w:val="FirstParagraph"/>
      </w:pPr>
      <w:r>
        <w:rPr>
          <w:b/>
          <w:bCs/>
        </w:rPr>
        <w:t xml:space="preserve">The UK Addendum on the primary Prolific page.</w:t>
      </w:r>
      <w:r>
        <w:t xml:space="preserve"> </w:t>
      </w:r>
      <w:r>
        <w:t xml:space="preserve">Researcher Terms, section N (Data Protection), https://prolific.notion.site/Researcher-Terms-7787f102f0c541bdbe2c04b5d3285acb,</w:t>
      </w:r>
      <w:r>
        <w:t xml:space="preserve"> </w:t>
      </w:r>
      <w:r>
        <w:rPr>
          <w:b/>
          <w:bCs/>
        </w:rPr>
        <w:t xml:space="preserve">read on 12 October 2026</w:t>
      </w:r>
      <w:r>
        <w:t xml:space="preserve">. The Survey Builder supplementary terms on the same page print</w:t>
      </w:r>
      <w:r>
        <w:t xml:space="preserve"> </w:t>
      </w:r>
      <w:r>
        <w:t xml:space="preserve">“Last updated: 11 August 2022”</w:t>
      </w:r>
      <w:r>
        <w:t xml:space="preserve"> </w:t>
      </w:r>
      <w:r>
        <w:t xml:space="preserve">and repeat the Addendum for the transfer from processor to controller. The page does not use the title</w:t>
      </w:r>
      <w:r>
        <w:t xml:space="preserve"> </w:t>
      </w:r>
      <w:r>
        <w:t xml:space="preserve">“IDTA”</w:t>
      </w:r>
      <w:r>
        <w:t xml:space="preserve">.</w:t>
      </w:r>
    </w:p>
    <w:p>
      <w:pPr>
        <w:pStyle w:val="BodyText"/>
      </w:pPr>
      <w:r>
        <w:rPr>
          <w:b/>
          <w:bCs/>
        </w:rPr>
        <w:t xml:space="preserve">What that page incorporates is the UK Addendum to the EU standard contractual clauses, not a document titled International Data Transfer Agreement.</w:t>
      </w:r>
    </w:p>
    <w:p>
      <w:pPr>
        <w:pStyle w:val="BodyText"/>
      </w:pPr>
      <w:r>
        <w:t xml:space="preserve">The ICO’s International Data Transfer Agreement (IDTA) is a separate UK safeguard, and it was</w:t>
      </w:r>
      <w:r>
        <w:t xml:space="preserve"> </w:t>
      </w:r>
      <w:r>
        <w:rPr>
          <w:b/>
          <w:bCs/>
        </w:rPr>
        <w:t xml:space="preserve">not named</w:t>
      </w:r>
      <w:r>
        <w:t xml:space="preserve"> </w:t>
      </w:r>
      <w:r>
        <w:t xml:space="preserve">on this page. Whether Prolific uses the IDTA with its own vendors is</w:t>
      </w:r>
      <w:r>
        <w:t xml:space="preserve"> </w:t>
      </w:r>
      <w:r>
        <w:rPr>
          <w:b/>
          <w:bCs/>
        </w:rPr>
        <w:t xml:space="preserve">not confirmed</w:t>
      </w:r>
      <w:r>
        <w:t xml:space="preserve">.</w:t>
      </w:r>
    </w:p>
    <w:p>
      <w:pPr>
        <w:pStyle w:val="BodyText"/>
      </w:pPr>
      <w:r>
        <w:t xml:space="preserve">Researcher Terms, section N, on a researcher located outside the UK and the European Economic Area and outside a country with an adequacy finding (same web address, read on 12 October 2026):</w:t>
      </w:r>
    </w:p>
    <w:p>
      <w:pPr>
        <w:pStyle w:val="BlockText"/>
      </w:pPr>
      <w:r>
        <w:t xml:space="preserve">“Because your access through Prolific to demographic or performance data may constitute a controller-to-controller transfer of personal data, we are required to ensure that if you are located outside the UK and European Economic Area (EEA), and not in a territory in relation to which the UK and European Commission have made respective findings of adequacy, the transfer is subject to Module 1 of the Standard Contractual Clauses approved by the European Commission in their decision of 4 June 2021 (the EU SCCs). The optional “Docking Clause”</w:t>
      </w:r>
      <w:r>
        <w:t xml:space="preserve"> </w:t>
      </w:r>
      <w:r>
        <w:t xml:space="preserve">7 of the EU SCCs will not apply. Because we are a UK entity, the EU SCCs are supplemented by the Addendum to the EU SCCs approved by the UK’s data protection regulator, the ICO, which are in force from 21 March 2022 (the Addendum). The EU SCCs and Addendum are incorporated in these Terms in full, and you agree to comply with them.”</w:t>
      </w:r>
    </w:p>
    <w:p>
      <w:pPr>
        <w:pStyle w:val="FirstParagraph"/>
      </w:pPr>
      <w:r>
        <w:t xml:space="preserve">The same section completes Annex I. The points that matter here are:</w:t>
      </w:r>
    </w:p>
    <w:p>
      <w:pPr>
        <w:pStyle w:val="BlockText"/>
      </w:pPr>
      <w:r>
        <w:t xml:space="preserve">“we are the data exporter and you are the data importer and each of us is a controller.”</w:t>
      </w:r>
    </w:p>
    <w:p>
      <w:pPr>
        <w:pStyle w:val="BlockText"/>
      </w:pPr>
      <w:r>
        <w:t xml:space="preserve">“the categories of data are Participant demographic and performance data (including any sensitive data comprised in the Participant demographic data)”</w:t>
      </w:r>
    </w:p>
    <w:p>
      <w:pPr>
        <w:pStyle w:val="BlockText"/>
      </w:pPr>
      <w:r>
        <w:t xml:space="preserve">“the duration of processing will be determined by reference to your organisation or institution’s retention policy, and in any event must be no longer than is necessary for the purposes of that processing”</w:t>
      </w:r>
    </w:p>
    <w:p>
      <w:pPr>
        <w:pStyle w:val="BlockText"/>
      </w:pPr>
      <w:r>
        <w:t xml:space="preserve">“the competent supervisory authority is the UK’s Information Commissioner’s Office (ICO).”</w:t>
      </w:r>
    </w:p>
    <w:p>
      <w:pPr>
        <w:pStyle w:val="FirstParagraph"/>
      </w:pPr>
      <w:r>
        <w:t xml:space="preserve">Survey Builder terms, on sub-processors:</w:t>
      </w:r>
    </w:p>
    <w:p>
      <w:pPr>
        <w:pStyle w:val="BlockText"/>
      </w:pPr>
      <w:r>
        <w:t xml:space="preserve">“You authorise us to transfer personal data to those sub-processors, provided that if the sub-processor is located outside the UK and European Economic Area (EEA), and not in a territory in relation to which the UK and European Commission have made respective findings of adequacy, we will ensure the transfer is subject to written terms meeting the requirements of Article 46 GDPR. At present, this is only relevant to some of our sub-processors in the USA.”</w:t>
      </w:r>
    </w:p>
    <w:p>
      <w:pPr>
        <w:pStyle w:val="FirstParagraph"/>
      </w:pPr>
      <w:r>
        <w:t xml:space="preserve">The named Survey Builder sub-processors include Google LLC, MongoDB, Inc., Amazon Web Services, Inc., MessageBird B.V., Stitch, Inc., dbt Labs, Inc., Metabase, Inc., and Pendo.io, Inc. The transfer of submissions from processor to controller in the United States uses</w:t>
      </w:r>
      <w:r>
        <w:t xml:space="preserve"> </w:t>
      </w:r>
      <w:r>
        <w:rPr>
          <w:b/>
          <w:bCs/>
        </w:rPr>
        <w:t xml:space="preserve">Module 4</w:t>
      </w:r>
      <w:r>
        <w:t xml:space="preserve"> </w:t>
      </w:r>
      <w:r>
        <w:t xml:space="preserve">of the EU standard contractual clauses together with the same UK Addendum, and the terms say that this block applies if the researcher’s institution is in the United States.</w:t>
      </w:r>
    </w:p>
    <w:p>
      <w:pPr>
        <w:pStyle w:val="BodyText"/>
      </w:pPr>
      <w:r>
        <w:t xml:space="preserve">Help centre,</w:t>
      </w:r>
      <w:r>
        <w:t xml:space="preserve"> </w:t>
      </w:r>
      <w:r>
        <w:t xml:space="preserve">“Data protection and privacy”</w:t>
      </w:r>
      <w:r>
        <w:t xml:space="preserve">, 11 December 2025, https://researcher-help.prolific.com/en/articles/445118-data-protection-and-privacy:</w:t>
      </w:r>
    </w:p>
    <w:p>
      <w:pPr>
        <w:pStyle w:val="BlockText"/>
      </w:pPr>
      <w:r>
        <w:t xml:space="preserve">“User data is stored within secure Google Cloud Platform servers located in Belgium.”</w:t>
      </w:r>
    </w:p>
    <w:p>
      <w:pPr>
        <w:pStyle w:val="BlockText"/>
      </w:pPr>
      <w:r>
        <w:t xml:space="preserve">“In some cases we use other companies and products as processors to handle your data, and some of the third parties to whom we may transfer your personal data may be located outside the EEA. If so, then we will ensure that transfers by our appointed data processors will only be made lawfully.”</w:t>
      </w:r>
    </w:p>
    <w:p>
      <w:pPr>
        <w:pStyle w:val="FirstParagraph"/>
      </w:pPr>
      <w:r>
        <w:t xml:space="preserve">The participant help centre, 26 June 2026, https://participant-help.prolific.com/en/articles/449612-data-protection-and-privacy-gdpr, places a matching duty on the researcher:</w:t>
      </w:r>
    </w:p>
    <w:p>
      <w:pPr>
        <w:pStyle w:val="BlockText"/>
      </w:pPr>
      <w:r>
        <w:t xml:space="preserve">“If you are a Researcher, then it is your responsibility to ensure that you have performed your legal obligations as data controller in relation to any personal data you may receive, and in particular to ensure that you have provided all information required by law prior to the collection of any such personal data and ensured that any transfer of such personal data outside the EEA is lawful.”</w:t>
      </w:r>
    </w:p>
    <w:p>
      <w:pPr>
        <w:pStyle w:val="FirstParagraph"/>
      </w:pPr>
      <w:r>
        <w:rPr>
          <w:b/>
          <w:bCs/>
        </w:rPr>
        <w:t xml:space="preserve">For Sara to decide.</w:t>
      </w:r>
      <w:r>
        <w:t xml:space="preserve"> </w:t>
      </w:r>
      <w:r>
        <w:t xml:space="preserve">Sleep and Health Clinic App Ltd is a UK company, so the Module 1 clause, which covers a researcher outside the UK and the European Economic Area, does not describe the sponsor’s own location. Prolific’s pool of participants is international, but receiving a Prolific ID in the UK is not the outward transfer that the clause describes. If the external survey or the Lazoo app then sends special category data to the United States, it is for Sleep and Health Clinic App Ltd to safeguard that outward transfer. Prolific’s terms do not do so for study data held outside the platform, because Prolific says that it never holds that data. The sentence about hosting in Belgium refers to Prolific’s user data and is not a statement about where special category data from Lazoo are stored.</w:t>
      </w:r>
    </w:p>
    <w:bookmarkEnd w:id="24"/>
    <w:bookmarkStart w:id="25" w:name="a4.-special-category-data"/>
    <w:p>
      <w:pPr>
        <w:pStyle w:val="Heading3"/>
      </w:pPr>
      <w:r>
        <w:t xml:space="preserve">A4. Special category data</w:t>
      </w:r>
    </w:p>
    <w:p>
      <w:pPr>
        <w:pStyle w:val="FirstParagraph"/>
      </w:pPr>
      <w:r>
        <w:t xml:space="preserve">Prolific collects special category data on its own account, as participant profile data, and only with consent. Its pages use the terms</w:t>
      </w:r>
      <w:r>
        <w:t xml:space="preserve"> </w:t>
      </w:r>
      <w:r>
        <w:t xml:space="preserve">“special categories of data”</w:t>
      </w:r>
      <w:r>
        <w:t xml:space="preserve"> </w:t>
      </w:r>
      <w:r>
        <w:t xml:space="preserve">and</w:t>
      </w:r>
      <w:r>
        <w:t xml:space="preserve"> </w:t>
      </w:r>
      <w:r>
        <w:t xml:space="preserve">“special category data”</w:t>
      </w:r>
      <w:r>
        <w:t xml:space="preserve">, and health is one example within that term rather than a separate Prolific label.</w:t>
      </w:r>
    </w:p>
    <w:p>
      <w:pPr>
        <w:pStyle w:val="BodyText"/>
      </w:pPr>
      <w:r>
        <w:t xml:space="preserve">Researcher help centre, 11 December 2025, the same privacy article:</w:t>
      </w:r>
    </w:p>
    <w:p>
      <w:pPr>
        <w:pStyle w:val="BlockText"/>
      </w:pPr>
      <w:r>
        <w:t xml:space="preserve">“The profile data which we process may also include special categories of data. This data may include data about race, ethnic origin, politics, religion, health, sex life or sexual orientation. We process this data only with your consent. You can withdraw that consent and remove that data by deleting the relevant screening questions at any time.”</w:t>
      </w:r>
    </w:p>
    <w:p>
      <w:pPr>
        <w:pStyle w:val="FirstParagraph"/>
      </w:pPr>
      <w:r>
        <w:t xml:space="preserve">Participant help centre, 26 June 2026:</w:t>
      </w:r>
    </w:p>
    <w:p>
      <w:pPr>
        <w:pStyle w:val="BlockText"/>
      </w:pPr>
      <w:r>
        <w:t xml:space="preserve">“If you choose to enter any special category data in response to our screening questions, then you consent to our processing that data in accordance with our Privacy Notice. You can withdraw that consent and remove that data by deleting the relevant screening questions at any time.”</w:t>
      </w:r>
    </w:p>
    <w:p>
      <w:pPr>
        <w:pStyle w:val="FirstParagraph"/>
      </w:pPr>
      <w:r>
        <w:t xml:space="preserve">Researchers who collect special category data themselves must say so in the consent, before any data are collected. The consent article gives</w:t>
      </w:r>
      <w:r>
        <w:t xml:space="preserve"> </w:t>
      </w:r>
      <w:r>
        <w:t xml:space="preserve">“health status”</w:t>
      </w:r>
      <w:r>
        <w:t xml:space="preserve"> </w:t>
      </w:r>
      <w:r>
        <w:t xml:space="preserve">as its own example, within the wider phrase</w:t>
      </w:r>
      <w:r>
        <w:t xml:space="preserve"> </w:t>
      </w:r>
      <w:r>
        <w:t xml:space="preserve">“sensitive personal data”</w:t>
      </w:r>
      <w:r>
        <w:t xml:space="preserve">.</w:t>
      </w:r>
    </w:p>
    <w:p>
      <w:pPr>
        <w:pStyle w:val="BodyText"/>
      </w:pPr>
      <w:r>
        <w:t xml:space="preserve">“Getting consent”</w:t>
      </w:r>
      <w:r>
        <w:t xml:space="preserve">, 18 June 2026, https://researcher-help.prolific.com/en/articles/445265-getting-consent:</w:t>
      </w:r>
    </w:p>
    <w:p>
      <w:pPr>
        <w:pStyle w:val="BlockText"/>
      </w:pPr>
      <w:r>
        <w:t xml:space="preserve">“Before collecting any data from participants, you must obtain their informed consent.”</w:t>
      </w:r>
    </w:p>
    <w:p>
      <w:pPr>
        <w:pStyle w:val="BlockText"/>
      </w:pPr>
      <w:r>
        <w:t xml:space="preserve">“What data will be collected. If you are collecting sensitive personal data (such as information about racial or ethnic origin, religious or political beliefs, or health status), this must be stated explicitly.”</w:t>
      </w:r>
    </w:p>
    <w:p>
      <w:pPr>
        <w:pStyle w:val="FirstParagraph"/>
      </w:pPr>
      <w:r>
        <w:rPr>
          <w:b/>
          <w:bCs/>
        </w:rPr>
        <w:t xml:space="preserve">Survey Builder cannot be used for special category data.</w:t>
      </w:r>
    </w:p>
    <w:p>
      <w:pPr>
        <w:pStyle w:val="BodyText"/>
      </w:pPr>
      <w:r>
        <w:t xml:space="preserve">Survey Builder terms:</w:t>
      </w:r>
    </w:p>
    <w:p>
      <w:pPr>
        <w:pStyle w:val="BlockText"/>
      </w:pPr>
      <w:r>
        <w:t xml:space="preserve">“Survey Builder is currently in closed beta and available only to particular researchers. While we’re working on Survey Builder we’ve limited some features which we hope to include later – so, for instance, Survey Builder is not yet available to researchers in certain territories and shouldn’t be used to ask questions relating to special categories of data.”</w:t>
      </w:r>
    </w:p>
    <w:p>
      <w:pPr>
        <w:pStyle w:val="BlockText"/>
      </w:pPr>
      <w:r>
        <w:t xml:space="preserve">“Things you can’t ask: Just like under the Researcher Terms, you must not in any circumstances request direct identifiers from Participants like their name, email address, phone number, full post code date of birth or social media or gaming usernames. In addition, at least while Survey Builder is in beta, you must not ask any questions relating to special categories of data. More information is available here, but these categories include data relating to: racial or ethnic origins; political opinions; religious or philosophical beliefs; trade union memberships; genetic data; biometric data; health and medical records; and sex life and sexual orientation.”</w:t>
      </w:r>
    </w:p>
    <w:p>
      <w:pPr>
        <w:pStyle w:val="FirstParagraph"/>
      </w:pPr>
      <w:r>
        <w:t xml:space="preserve">Help centre,</w:t>
      </w:r>
      <w:r>
        <w:t xml:space="preserve"> </w:t>
      </w:r>
      <w:r>
        <w:t xml:space="preserve">“Setting up a study FAQs”</w:t>
      </w:r>
      <w:r>
        <w:t xml:space="preserve">, 28 July 2026, https://researcher-help.prolific.com/en/articles/445135-setting-up-a-study-faqs:</w:t>
      </w:r>
    </w:p>
    <w:p>
      <w:pPr>
        <w:pStyle w:val="BlockText"/>
      </w:pPr>
      <w:r>
        <w:t xml:space="preserve">“Survey Builder should not be used to collect sensitive information. This includes questions about: Race or ethnicity; Sexual orientation; Political views; Religion or beliefs; Medical records or health information; Trade union membership.”</w:t>
      </w:r>
    </w:p>
    <w:p>
      <w:pPr>
        <w:pStyle w:val="BlockText"/>
      </w:pPr>
      <w:r>
        <w:t xml:space="preserve">“If your study requires more complex questionnaires or asks sensitive questions, you’ll need to use external survey or experiment software.”</w:t>
      </w:r>
    </w:p>
    <w:p>
      <w:pPr>
        <w:pStyle w:val="FirstParagraph"/>
      </w:pPr>
      <w:r>
        <w:t xml:space="preserve">The same FAQ says that Survey Builder is limited to short surveys of up to five multiple-choice questions, and that it is available to researchers in the UK, the European Economic Area, Canada, New Zealand, Japan, Israel, Argentina, South Korea and the United States. A newer page,</w:t>
      </w:r>
      <w:r>
        <w:t xml:space="preserve"> </w:t>
      </w:r>
      <w:r>
        <w:t xml:space="preserve">“How to create a survey with Survey Builder”</w:t>
      </w:r>
      <w:r>
        <w:t xml:space="preserve">, describes a wider builder that includes free text and file upload, and does not repeat the ban on special category data; the July 2026 FAQ and the supplementary terms do repeat it. Whether to treat the newer page as permission to collect answers about insomnia or pregnancy inside Prolific is Sara’s decision. These notes do not treat it as permission.</w:t>
      </w:r>
    </w:p>
    <w:p>
      <w:pPr>
        <w:pStyle w:val="BodyText"/>
      </w:pPr>
      <w:r>
        <w:t xml:space="preserve">Direct identifiers may be collected only with Prolific’s prior written approval, and ethics approval does not override that rule.</w:t>
      </w:r>
    </w:p>
    <w:p>
      <w:pPr>
        <w:pStyle w:val="BodyText"/>
      </w:pPr>
      <w:r>
        <w:t xml:space="preserve">“Can I ask participants for their personal information/identifiers?”</w:t>
      </w:r>
      <w:r>
        <w:t xml:space="preserve">, 5 August 2026, https://researcher-help.prolific.com/en/articles/445117-can-i-ask-participants-for-their-personal-information-identifiers:</w:t>
      </w:r>
    </w:p>
    <w:p>
      <w:pPr>
        <w:pStyle w:val="BlockText"/>
      </w:pPr>
      <w:r>
        <w:t xml:space="preserve">“You must not attempt to identify participants or collect any data that could directly identify them without prior approval from Prolific.”</w:t>
      </w:r>
    </w:p>
    <w:p>
      <w:pPr>
        <w:pStyle w:val="BlockText"/>
      </w:pPr>
      <w:r>
        <w:t xml:space="preserve">“We recognise that some studies may have institutional approval to collect personally identifiable information. However, our Researcher Terms supersede institutional approval.”</w:t>
      </w:r>
    </w:p>
    <w:p>
      <w:pPr>
        <w:pStyle w:val="BlockText"/>
      </w:pPr>
      <w:r>
        <w:t xml:space="preserve">“Your study may not proceed with personal data collection until you have received written approval from Prolific.”</w:t>
      </w:r>
    </w:p>
    <w:p>
      <w:pPr>
        <w:pStyle w:val="FirstParagraph"/>
      </w:pPr>
      <w:r>
        <w:t xml:space="preserve">Names, telephone numbers, personal email addresses, dates of birth, home addresses and national identifiers are listed as not permitted, and the page says that the list is not exhaustive.</w:t>
      </w:r>
    </w:p>
    <w:p>
      <w:pPr>
        <w:pStyle w:val="BodyText"/>
      </w:pPr>
      <w:r>
        <w:t xml:space="preserve">Studies on mental health and other sensitive topics are allowed, with stronger security. This is help-centre guidance and not a clause that authorises a device study.</w:t>
      </w:r>
    </w:p>
    <w:p>
      <w:pPr>
        <w:pStyle w:val="BodyText"/>
      </w:pPr>
      <w:r>
        <w:t xml:space="preserve">“Prolific IDs, data collection and security”</w:t>
      </w:r>
      <w:r>
        <w:t xml:space="preserve">, https://researcher-help.prolific.com/en/articles/445263-prolific-ids-data-collection-and-security (the page was marked</w:t>
      </w:r>
      <w:r>
        <w:t xml:space="preserve"> </w:t>
      </w:r>
      <w:r>
        <w:t xml:space="preserve">“updated over a week ago”</w:t>
      </w:r>
      <w:r>
        <w:t xml:space="preserve"> </w:t>
      </w:r>
      <w:r>
        <w:t xml:space="preserve">when read on 12 October 2026):</w:t>
      </w:r>
    </w:p>
    <w:p>
      <w:pPr>
        <w:pStyle w:val="BlockText"/>
      </w:pPr>
      <w:r>
        <w:t xml:space="preserve">“For higher-risk studies, for example, research involving mental health, drug use or other sensitive information, you should consider stronger safeguards, such as: Encryption; Pseudonymisation; Two-factor authentication (2FA); Strong, unique passwords; User access controls; Access logging.”</w:t>
      </w:r>
    </w:p>
    <w:p>
      <w:pPr>
        <w:pStyle w:val="FirstParagraph"/>
      </w:pPr>
      <w:r>
        <w:t xml:space="preserve">Content that asks about special category data can be run if participants are warned and give consent, and the article itself gives</w:t>
      </w:r>
      <w:r>
        <w:t xml:space="preserve"> </w:t>
      </w:r>
      <w:r>
        <w:t xml:space="preserve">“health”</w:t>
      </w:r>
      <w:r>
        <w:t xml:space="preserve"> </w:t>
      </w:r>
      <w:r>
        <w:t xml:space="preserve">as an example of sensitive content.</w:t>
      </w:r>
    </w:p>
    <w:p>
      <w:pPr>
        <w:pStyle w:val="BodyText"/>
      </w:pPr>
      <w:r>
        <w:t xml:space="preserve">“How do I run a study with sensitive or disturbing content?”</w:t>
      </w:r>
      <w:r>
        <w:t xml:space="preserve">, 11 December 2025, https://researcher-help.prolific.com/en/articles/445152-how-do-i-run-a-study-with-sensitive-or-disturbing-content:</w:t>
      </w:r>
    </w:p>
    <w:p>
      <w:pPr>
        <w:pStyle w:val="BlockText"/>
      </w:pPr>
      <w:r>
        <w:t xml:space="preserve">“Sensitive content includes discussions revolving around deeply personal topics or potentially distressing issues. Sensitive content can also come in various forms: typical approaches involve asking questions or presenting scenarios related to health, trauma, or other potentially upsetting subjects.”</w:t>
      </w:r>
    </w:p>
    <w:p>
      <w:pPr>
        <w:pStyle w:val="BlockText"/>
      </w:pPr>
      <w:r>
        <w:t xml:space="preserve">“In all studies on Prolific, you should ask participants to consent to your study before they begin sharing data, including demographic questions.”</w:t>
      </w:r>
    </w:p>
    <w:p>
      <w:pPr>
        <w:pStyle w:val="FirstParagraph"/>
      </w:pPr>
      <w:r>
        <w:rPr>
          <w:b/>
          <w:bCs/>
        </w:rPr>
        <w:t xml:space="preserve">Pregnancy.</w:t>
      </w:r>
      <w:r>
        <w:t xml:space="preserve"> </w:t>
      </w:r>
      <w:r>
        <w:t xml:space="preserve">No Prolific clause on pregnancy was found. Asking</w:t>
      </w:r>
      <w:r>
        <w:t xml:space="preserve"> </w:t>
      </w:r>
      <w:r>
        <w:t xml:space="preserve">“are you pregnant?”</w:t>
      </w:r>
      <w:r>
        <w:t xml:space="preserve"> </w:t>
      </w:r>
      <w:r>
        <w:t xml:space="preserve">collects special category data. One place to ask it that is consistent with the Survey Builder ban is the external study, within the consent, rather than in Survey Builder or as a request for a medical record. It is</w:t>
      </w:r>
      <w:r>
        <w:t xml:space="preserve"> </w:t>
      </w:r>
      <w:r>
        <w:rPr>
          <w:b/>
          <w:bCs/>
        </w:rPr>
        <w:t xml:space="preserve">not confirmed</w:t>
      </w:r>
      <w:r>
        <w:t xml:space="preserve"> </w:t>
      </w:r>
      <w:r>
        <w:t xml:space="preserve">that an existing Prolific prescreening question already covers pregnancy. If one is used, Prolific is the controller of that answer and the participant can delete it.</w:t>
      </w:r>
    </w:p>
    <w:bookmarkEnd w:id="25"/>
    <w:bookmarkStart w:id="26" w:name="a5.-participant-id-and-pseudonymisation"/>
    <w:p>
      <w:pPr>
        <w:pStyle w:val="Heading3"/>
      </w:pPr>
      <w:r>
        <w:t xml:space="preserve">A5. Participant ID and pseudonymisation</w:t>
      </w:r>
    </w:p>
    <w:p>
      <w:pPr>
        <w:pStyle w:val="FirstParagraph"/>
      </w:pPr>
      <w:r>
        <w:t xml:space="preserve">The Prolific ID is a pseudonym, and Prolific is explicit that it is still personal data.</w:t>
      </w:r>
    </w:p>
    <w:p>
      <w:pPr>
        <w:pStyle w:val="BodyText"/>
      </w:pPr>
      <w:r>
        <w:t xml:space="preserve">Researcher Terms, section N:</w:t>
      </w:r>
    </w:p>
    <w:p>
      <w:pPr>
        <w:pStyle w:val="BlockText"/>
      </w:pPr>
      <w:r>
        <w:t xml:space="preserve">“This personal data will be pseudonymised (i.e. associated only with a Prolific ID rather than with a direct identifier such as a name or address). … You shall not attempt to re-identify any Participant through the pseudonymised data provided by Prolific or any other data available to you (and note this may be a criminal offence in certain jurisdictions).”</w:t>
      </w:r>
    </w:p>
    <w:p>
      <w:pPr>
        <w:pStyle w:val="BlockText"/>
      </w:pPr>
      <w:r>
        <w:t xml:space="preserve">“You shall not in the context of any Study or otherwise request any direct identifiers from Participants.”</w:t>
      </w:r>
    </w:p>
    <w:p>
      <w:pPr>
        <w:pStyle w:val="FirstParagraph"/>
      </w:pPr>
      <w:r>
        <w:t xml:space="preserve">Help centre,</w:t>
      </w:r>
      <w:r>
        <w:t xml:space="preserve"> </w:t>
      </w:r>
      <w:r>
        <w:t xml:space="preserve">“Participants’ personal data”</w:t>
      </w:r>
      <w:r>
        <w:t xml:space="preserve">, 5 August 2026, https://researcher-help.prolific.com/en/articles/445116-participants-personal-data:</w:t>
      </w:r>
    </w:p>
    <w:p>
      <w:pPr>
        <w:pStyle w:val="BlockText"/>
      </w:pPr>
      <w:r>
        <w:t xml:space="preserve">“The participant information provided by Prolific is pseudonymized. This means participants are identified only by their Prolific ID rather than by direct identifiers such as their name, email address, or postal address.”</w:t>
      </w:r>
    </w:p>
    <w:p>
      <w:pPr>
        <w:pStyle w:val="BlockText"/>
      </w:pPr>
      <w:r>
        <w:t xml:space="preserve">“It’s important to understand that pseudonymized data is not the same as anonymized data and is still treated as personal data under applicable data protection laws.”</w:t>
      </w:r>
    </w:p>
    <w:p>
      <w:pPr>
        <w:pStyle w:val="FirstParagraph"/>
      </w:pPr>
      <w:r>
        <w:t xml:space="preserve">Privacy article, 11 December 2025:</w:t>
      </w:r>
    </w:p>
    <w:p>
      <w:pPr>
        <w:pStyle w:val="BlockText"/>
      </w:pPr>
      <w:r>
        <w:t xml:space="preserve">“Each participant is assigned a unique Participant ID (24-character alphanumeric unique identifier). This means their data is pseudonymized and only Prolific will know their identity.”</w:t>
      </w:r>
    </w:p>
    <w:p>
      <w:pPr>
        <w:pStyle w:val="BlockText"/>
      </w:pPr>
      <w:r>
        <w:t xml:space="preserve">“We will not identify participants to you, but will refer only to Prolific IDs which are a string of numbers and letters. You must not attempt to re-identify participants or ask them for any direct identifiers.”</w:t>
      </w:r>
    </w:p>
    <w:p>
      <w:pPr>
        <w:pStyle w:val="FirstParagraph"/>
      </w:pPr>
      <w:r>
        <w:t xml:space="preserve">Researchers must record the ID themselves; Prolific does not join it to the external dataset for them.</w:t>
      </w:r>
    </w:p>
    <w:p>
      <w:pPr>
        <w:pStyle w:val="BodyText"/>
      </w:pPr>
      <w:r>
        <w:t xml:space="preserve">IDs article:</w:t>
      </w:r>
    </w:p>
    <w:p>
      <w:pPr>
        <w:pStyle w:val="BlockText"/>
      </w:pPr>
      <w:r>
        <w:t xml:space="preserve">“You must record the Prolific ID of every participant who takes part in your study.”</w:t>
      </w:r>
    </w:p>
    <w:p>
      <w:pPr>
        <w:pStyle w:val="BlockText"/>
      </w:pPr>
      <w:r>
        <w:t xml:space="preserve">“There are two common ways to do this: Automatically through URL parameters - this is the recommended approach. By asking participants for their Prolific ID directly in your survey.”</w:t>
      </w:r>
    </w:p>
    <w:p>
      <w:pPr>
        <w:pStyle w:val="BlockText"/>
      </w:pPr>
      <w:r>
        <w:t xml:space="preserve">“If you’re planning to make your study data publicly available, for example, through OSF or a university data repository, you should remove Prolific IDs before publishing the dataset.”</w:t>
      </w:r>
    </w:p>
    <w:p>
      <w:pPr>
        <w:pStyle w:val="FirstParagraph"/>
      </w:pPr>
      <w:r>
        <w:rPr>
          <w:b/>
          <w:bCs/>
        </w:rPr>
        <w:t xml:space="preserve">Opinion, for Sara to accept or reject.</w:t>
      </w:r>
      <w:r>
        <w:t xml:space="preserve"> </w:t>
      </w:r>
      <w:r>
        <w:t xml:space="preserve">One way to follow the IDs article is to pass the Prolific ID into the external study as a URL parameter, store it with the Lazoo record, and collect no name, email address, telephone number, date of birth or address. The same article says that the Prolific ID should be removed before any dataset is made public. A second study code, held separately from the analysis file, is an extra safeguard that Prolific recommends in substance (</w:t>
      </w:r>
      <w:r>
        <w:t xml:space="preserve">“pseudonymisation”</w:t>
      </w:r>
      <w:r>
        <w:t xml:space="preserve">) without specifying a format. The</w:t>
      </w:r>
      <w:r>
        <w:t xml:space="preserve"> </w:t>
      </w:r>
      <w:r>
        <w:t xml:space="preserve">“24-character”</w:t>
      </w:r>
      <w:r>
        <w:t xml:space="preserve"> </w:t>
      </w:r>
      <w:r>
        <w:t xml:space="preserve">description and the</w:t>
      </w:r>
      <w:r>
        <w:t xml:space="preserve"> </w:t>
      </w:r>
      <w:r>
        <w:t xml:space="preserve">“string of numbers and letters”</w:t>
      </w:r>
      <w:r>
        <w:t xml:space="preserve"> </w:t>
      </w:r>
      <w:r>
        <w:t xml:space="preserve">description are both Prolific’s own, and they describe the same identifier.</w:t>
      </w:r>
    </w:p>
    <w:bookmarkEnd w:id="26"/>
    <w:bookmarkStart w:id="27" w:name="a6.-retention-and-deletion"/>
    <w:p>
      <w:pPr>
        <w:pStyle w:val="Heading3"/>
      </w:pPr>
      <w:r>
        <w:t xml:space="preserve">A6. Retention and deletion</w:t>
      </w:r>
    </w:p>
    <w:p>
      <w:pPr>
        <w:pStyle w:val="FirstParagraph"/>
      </w:pPr>
      <w:r>
        <w:t xml:space="preserve">Three different retention periods apply, and they are easy to confuse.</w:t>
      </w:r>
    </w:p>
    <w:p>
      <w:pPr>
        <w:pStyle w:val="BodyText"/>
      </w:pPr>
      <w:r>
        <w:rPr>
          <w:b/>
          <w:bCs/>
        </w:rPr>
        <w:t xml:space="preserve">1. Study data held outside the platform.</w:t>
      </w:r>
      <w:r>
        <w:t xml:space="preserve"> </w:t>
      </w:r>
      <w:r>
        <w:t xml:space="preserve">Prolific says that it does not keep this data. The sponsor sets the retention period, tells participants what it is, and deletes the data when it ends.</w:t>
      </w:r>
    </w:p>
    <w:p>
      <w:pPr>
        <w:pStyle w:val="BodyText"/>
      </w:pPr>
      <w:r>
        <w:t xml:space="preserve">Privacy article, 11 December 2025:</w:t>
      </w:r>
    </w:p>
    <w:p>
      <w:pPr>
        <w:pStyle w:val="BlockText"/>
      </w:pPr>
      <w:r>
        <w:t xml:space="preserve">“We do not store any data provided within studies. These are carried out on external survey software/platforms.”</w:t>
      </w:r>
    </w:p>
    <w:p>
      <w:pPr>
        <w:pStyle w:val="BlockText"/>
      </w:pPr>
      <w:r>
        <w:t xml:space="preserve">“We won’t keep your data for longer than necessary.”</w:t>
      </w:r>
    </w:p>
    <w:p>
      <w:pPr>
        <w:pStyle w:val="FirstParagraph"/>
      </w:pPr>
      <w:r>
        <w:t xml:space="preserve">The participants’ personal data article, 5 August 2026, requires the researcher’s notice to state</w:t>
      </w:r>
      <w:r>
        <w:t xml:space="preserve"> </w:t>
      </w:r>
      <w:r>
        <w:t xml:space="preserve">“How long you’ll keep it”</w:t>
      </w:r>
      <w:r>
        <w:t xml:space="preserve"> </w:t>
      </w:r>
      <w:r>
        <w:t xml:space="preserve">and</w:t>
      </w:r>
      <w:r>
        <w:t xml:space="preserve"> </w:t>
      </w:r>
      <w:r>
        <w:t xml:space="preserve">“How participants can exercise any applicable privacy rights.”</w:t>
      </w:r>
    </w:p>
    <w:p>
      <w:pPr>
        <w:pStyle w:val="BodyText"/>
      </w:pPr>
      <w:r>
        <w:t xml:space="preserve">“Getting consent”</w:t>
      </w:r>
      <w:r>
        <w:t xml:space="preserve">, 18 June 2026, requires the consent form to explain</w:t>
      </w:r>
      <w:r>
        <w:t xml:space="preserve"> </w:t>
      </w:r>
      <w:r>
        <w:t xml:space="preserve">“How the data will be stored and how long it will be retained”</w:t>
      </w:r>
      <w:r>
        <w:t xml:space="preserve"> </w:t>
      </w:r>
      <w:r>
        <w:t xml:space="preserve">and</w:t>
      </w:r>
      <w:r>
        <w:t xml:space="preserve"> </w:t>
      </w:r>
      <w:r>
        <w:t xml:space="preserve">“How participants can withdraw their consent and request the deletion of their data.”</w:t>
      </w:r>
    </w:p>
    <w:p>
      <w:pPr>
        <w:pStyle w:val="BodyText"/>
      </w:pPr>
      <w:r>
        <w:t xml:space="preserve">Researcher Terms, section N, in the annex to the standard contractual clauses, tie the duration of the transfer to</w:t>
      </w:r>
      <w:r>
        <w:t xml:space="preserve"> </w:t>
      </w:r>
      <w:r>
        <w:t xml:space="preserve">“your organisation or institution’s retention policy”</w:t>
      </w:r>
      <w:r>
        <w:t xml:space="preserve"> </w:t>
      </w:r>
      <w:r>
        <w:t xml:space="preserve">and to</w:t>
      </w:r>
      <w:r>
        <w:t xml:space="preserve"> </w:t>
      </w:r>
      <w:r>
        <w:t xml:space="preserve">“no longer than is necessary”</w:t>
      </w:r>
      <w:r>
        <w:t xml:space="preserve">.</w:t>
      </w:r>
    </w:p>
    <w:p>
      <w:pPr>
        <w:pStyle w:val="BodyText"/>
      </w:pPr>
      <w:r>
        <w:rPr>
          <w:b/>
          <w:bCs/>
        </w:rPr>
        <w:t xml:space="preserve">2. Prolific account data.</w:t>
      </w:r>
      <w:r>
        <w:t xml:space="preserve"> </w:t>
      </w:r>
      <w:r>
        <w:t xml:space="preserve">Inactive participant accounts are closed and deleted after 14 months.</w:t>
      </w:r>
    </w:p>
    <w:p>
      <w:pPr>
        <w:pStyle w:val="BodyText"/>
      </w:pPr>
      <w:r>
        <w:t xml:space="preserve">Participant help centre, 26 June 2026:</w:t>
      </w:r>
    </w:p>
    <w:p>
      <w:pPr>
        <w:pStyle w:val="BlockText"/>
      </w:pPr>
      <w:r>
        <w:t xml:space="preserve">“For participants, this means that if your account has been inactive for 14 months, your account will be permanently closed and your data deleted. You’ll receive email notifications ahead of this deadline — first at 6 months, then at 12 months of inactivity.”</w:t>
      </w:r>
    </w:p>
    <w:p>
      <w:pPr>
        <w:pStyle w:val="FirstParagraph"/>
      </w:pPr>
      <w:r>
        <w:t xml:space="preserve">The</w:t>
      </w:r>
      <w:r>
        <w:t xml:space="preserve"> </w:t>
      </w:r>
      <w:r>
        <w:t xml:space="preserve">“Data Deletion Notice FAQ”</w:t>
      </w:r>
      <w:r>
        <w:t xml:space="preserve">, https://participant-help.prolific.com/en/articles/449632-data-deletion-notice-faq, gives the same end point of 14 months, and says that the account history and the</w:t>
      </w:r>
      <w:r>
        <w:t xml:space="preserve"> </w:t>
      </w:r>
      <w:r>
        <w:t xml:space="preserve">“About you”</w:t>
      </w:r>
      <w:r>
        <w:t xml:space="preserve"> </w:t>
      </w:r>
      <w:r>
        <w:t xml:space="preserve">answers are then erased. The researcher privacy article of 11 December 2025 uses looser wording,</w:t>
      </w:r>
      <w:r>
        <w:t xml:space="preserve"> </w:t>
      </w:r>
      <w:r>
        <w:t xml:space="preserve">“personal data is deleted within a reason period after account closure”</w:t>
      </w:r>
      <w:r>
        <w:t xml:space="preserve">; the 14-month rule is the specific one.</w:t>
      </w:r>
    </w:p>
    <w:p>
      <w:pPr>
        <w:pStyle w:val="BodyText"/>
      </w:pPr>
      <w:r>
        <w:rPr>
          <w:b/>
          <w:bCs/>
        </w:rPr>
        <w:t xml:space="preserve">3. Survey Builder submissions.</w:t>
      </w:r>
      <w:r>
        <w:t xml:space="preserve"> </w:t>
      </w:r>
      <w:r>
        <w:t xml:space="preserve">The researcher deletes them, or Prolific deletes them when the researcher’s account ends.</w:t>
      </w:r>
    </w:p>
    <w:p>
      <w:pPr>
        <w:pStyle w:val="BodyText"/>
      </w:pPr>
      <w:r>
        <w:t xml:space="preserve">Survey Builder terms:</w:t>
      </w:r>
    </w:p>
    <w:p>
      <w:pPr>
        <w:pStyle w:val="BlockText"/>
      </w:pPr>
      <w:r>
        <w:t xml:space="preserve">“The duration of our processing is however long you choose to keep those Submissions hosted in our platform. You can delete them at any time using functions of Survey Builder.”</w:t>
      </w:r>
    </w:p>
    <w:p>
      <w:pPr>
        <w:pStyle w:val="BlockText"/>
      </w:pPr>
      <w:r>
        <w:t xml:space="preserve">“If your account with Prolific is terminated for any reason, we will delete Submissions hosted in our platform.”</w:t>
      </w:r>
    </w:p>
    <w:p>
      <w:pPr>
        <w:pStyle w:val="FirstParagraph"/>
      </w:pPr>
      <w:r>
        <w:rPr>
          <w:b/>
          <w:bCs/>
        </w:rPr>
        <w:t xml:space="preserve">For Sara to decide.</w:t>
      </w:r>
      <w:r>
        <w:t xml:space="preserve"> </w:t>
      </w:r>
      <w:r>
        <w:t xml:space="preserve">Prolific’s deletion after 14 months does not delete the copy of special category data held by Sleep and Health Clinic App Ltd. The protocol and the participant notice need the sponsor’s own retention period, which Sara sets. Prolific also says that demographic exports may disappear if a participant closes their account or withdraws a screening answer, so a later re-download cannot be relied on. Section N states:</w:t>
      </w:r>
      <w:r>
        <w:t xml:space="preserve"> </w:t>
      </w:r>
      <w:r>
        <w:t xml:space="preserve">“We do not guarantee that this basic demographic information and performance information will be continually or indefinitely available, as its availability may depend on Participant account and consent settings.”</w:t>
      </w:r>
    </w:p>
    <w:bookmarkEnd w:id="27"/>
    <w:bookmarkStart w:id="28" w:name="Xa9e511b3b58d5ba1c4bad0a0aa8ba523f9b49e3"/>
    <w:p>
      <w:pPr>
        <w:pStyle w:val="Heading3"/>
      </w:pPr>
      <w:r>
        <w:t xml:space="preserve">A7. Clinical studies, medical-device studies and ethics</w:t>
      </w:r>
    </w:p>
    <w:p>
      <w:pPr>
        <w:pStyle w:val="FirstParagraph"/>
      </w:pPr>
      <w:r>
        <w:rPr>
          <w:b/>
          <w:bCs/>
        </w:rPr>
        <w:t xml:space="preserve">No Prolific page was found that bans clinical investigations or medical-device studies by name.</w:t>
      </w:r>
      <w:r>
        <w:t xml:space="preserve"> </w:t>
      </w:r>
      <w:r>
        <w:t xml:space="preserve">That absence is</w:t>
      </w:r>
      <w:r>
        <w:t xml:space="preserve"> </w:t>
      </w:r>
      <w:r>
        <w:rPr>
          <w:b/>
          <w:bCs/>
        </w:rPr>
        <w:t xml:space="preserve">not confirmed</w:t>
      </w:r>
      <w:r>
        <w:t xml:space="preserve"> </w:t>
      </w:r>
      <w:r>
        <w:t xml:space="preserve">as permission. What Prolific publishes is a short list of unsuitable studies, together with a general duty to comply with the law and with the sponsor’s ethics requirements.</w:t>
      </w:r>
    </w:p>
    <w:p>
      <w:pPr>
        <w:pStyle w:val="BodyText"/>
      </w:pPr>
      <w:r>
        <w:rPr>
          <w:b/>
          <w:bCs/>
        </w:rPr>
        <w:t xml:space="preserve">Under-18s, clinic visits and posted devices: the primary Prolific page.</w:t>
      </w:r>
      <w:r>
        <w:t xml:space="preserve"> </w:t>
      </w:r>
      <w:r>
        <w:t xml:space="preserve">“Are there types of studies that aren’t suitable for Prolific?”</w:t>
      </w:r>
      <w:r>
        <w:t xml:space="preserve">, page dated 5 August 2026, https://researcher-help.prolific.com/en/articles/445105-are-there-types-of-studies-that-aren-t-suitable-for-prolific,</w:t>
      </w:r>
      <w:r>
        <w:t xml:space="preserve"> </w:t>
      </w:r>
      <w:r>
        <w:rPr>
          <w:b/>
          <w:bCs/>
        </w:rPr>
        <w:t xml:space="preserve">read on 12 October 2026</w:t>
      </w:r>
      <w:r>
        <w:t xml:space="preserve">.</w:t>
      </w:r>
    </w:p>
    <w:p>
      <w:pPr>
        <w:pStyle w:val="BlockText"/>
      </w:pPr>
      <w:r>
        <w:t xml:space="preserve">“Prolific does not permit studies that recruit participants under the age of 18. This restriction applies even with parental permission or for studies where parents and children participate together.”</w:t>
      </w:r>
    </w:p>
    <w:p>
      <w:pPr>
        <w:pStyle w:val="BlockText"/>
      </w:pPr>
      <w:r>
        <w:t xml:space="preserve">“Studies involving in-person activities are also prohibited. This includes asking participants to visit specific locations or sending them items to use during the study.”</w:t>
      </w:r>
    </w:p>
    <w:p>
      <w:pPr>
        <w:pStyle w:val="FirstParagraph"/>
      </w:pPr>
      <w:r>
        <w:t xml:space="preserve">The same page, read on the same date, also says that studies requiring personally identifiable information</w:t>
      </w:r>
      <w:r>
        <w:t xml:space="preserve"> </w:t>
      </w:r>
      <w:r>
        <w:t xml:space="preserve">“are unlikely to be supported”</w:t>
      </w:r>
      <w:r>
        <w:t xml:space="preserve">. A clinic visit falls under the sentence about visiting</w:t>
      </w:r>
      <w:r>
        <w:t xml:space="preserve"> </w:t>
      </w:r>
      <w:r>
        <w:t xml:space="preserve">“specific locations”</w:t>
      </w:r>
      <w:r>
        <w:t xml:space="preserve">, and posting a device or other item to a participant falls under the sentence about</w:t>
      </w:r>
      <w:r>
        <w:t xml:space="preserve"> </w:t>
      </w:r>
      <w:r>
        <w:t xml:space="preserve">“sending them items to use during the study”</w:t>
      </w:r>
      <w:r>
        <w:t xml:space="preserve">. No other primary Prolific page was needed for these three rules.</w:t>
      </w:r>
    </w:p>
    <w:p>
      <w:pPr>
        <w:pStyle w:val="BodyText"/>
      </w:pPr>
      <w:r>
        <w:t xml:space="preserve">Non-monetary rewards and unfair screening or rejection are also listed as unsuitable. The IRB article of 4 August 2026 sets a minimum payment of £6 or $8 per hour, with a recommendation of at least £9 or $12 per hour, and payment must be made through Prolific.</w:t>
      </w:r>
    </w:p>
    <w:p>
      <w:pPr>
        <w:pStyle w:val="BodyText"/>
      </w:pPr>
      <w:r>
        <w:t xml:space="preserve">Researcher Terms, quick summary:</w:t>
      </w:r>
    </w:p>
    <w:p>
      <w:pPr>
        <w:pStyle w:val="BlockText"/>
      </w:pPr>
      <w:r>
        <w:t xml:space="preserve">“When you use Prolific, you have to treat participants with fairness and respect, in accordance with good research practice, applicable law and your institution’s ethics policies.”</w:t>
      </w:r>
    </w:p>
    <w:p>
      <w:pPr>
        <w:pStyle w:val="FirstParagraph"/>
      </w:pPr>
      <w:r>
        <w:t xml:space="preserve">Full terms, in the section on researcher conduct:</w:t>
      </w:r>
    </w:p>
    <w:p>
      <w:pPr>
        <w:pStyle w:val="BlockText"/>
      </w:pPr>
      <w:r>
        <w:t xml:space="preserve">“In using Prolific and conducting Studies, you must also comply with applicable law, and any ethics policies, research protocols or other similar requirements of your employing institution or organisation.”</w:t>
      </w:r>
    </w:p>
    <w:p>
      <w:pPr>
        <w:pStyle w:val="FirstParagraph"/>
      </w:pPr>
      <w:r>
        <w:t xml:space="preserve">Survey Builder terms:</w:t>
      </w:r>
    </w:p>
    <w:p>
      <w:pPr>
        <w:pStyle w:val="BlockText"/>
      </w:pPr>
      <w:r>
        <w:t xml:space="preserve">“your obligations to comply with applicable law and with your own institution’s ethics approvals are all the same, just as if you were posting an external study link.”</w:t>
      </w:r>
    </w:p>
    <w:p>
      <w:pPr>
        <w:pStyle w:val="FirstParagraph"/>
      </w:pPr>
      <w:r>
        <w:t xml:space="preserve">The sensitive-content article expects a debrief that tells the participant whom else to contact,</w:t>
      </w:r>
      <w:r>
        <w:t xml:space="preserve"> </w:t>
      </w:r>
      <w:r>
        <w:t xml:space="preserve">“likely [the] Institutional Review Board that gave ethical approval”</w:t>
      </w:r>
      <w:r>
        <w:t xml:space="preserve">.</w:t>
      </w:r>
    </w:p>
    <w:p>
      <w:pPr>
        <w:pStyle w:val="BodyText"/>
      </w:pPr>
      <w:r>
        <w:t xml:space="preserve">Prolific’s own article on research ethics on prolific.com is general education. It says that most human research needs review by an institutional review board or a research ethics committee, and that the need</w:t>
      </w:r>
      <w:r>
        <w:t xml:space="preserve"> </w:t>
      </w:r>
      <w:r>
        <w:t xml:space="preserve">“depends on factors including participant risk level, study setting, and institutional policies.”</w:t>
      </w:r>
      <w:r>
        <w:t xml:space="preserve"> </w:t>
      </w:r>
      <w:r>
        <w:t xml:space="preserve">It is neither a Prolific rule that a university research ethics committee is sufficient for a device investigation nor a rule that ethics review can be skipped. Web address: https://www.prolific.com/resources/ethical-considerations-in-research-best-practices-and-examples, accessed on 12 October 2026.</w:t>
      </w:r>
    </w:p>
    <w:p>
      <w:pPr>
        <w:pStyle w:val="BodyText"/>
      </w:pPr>
      <w:r>
        <w:rPr>
          <w:b/>
          <w:bCs/>
        </w:rPr>
        <w:t xml:space="preserve">For Sara to decide.</w:t>
      </w:r>
      <w:r>
        <w:t xml:space="preserve"> </w:t>
      </w:r>
      <w:r>
        <w:t xml:space="preserve">On the text read, the page on unsuitable studies does not name clinical investigations or medical-device studies as a banned category. It does bar recruitment of under-18s, visits to a location and sending items to use in the study. On the identifiers page, a favourable ethics opinion does not authorise the collection of direct identifiers. Prolific’s pages supply neither a Research Ethics Service opinion nor an MHRA notice. Whether the study listing goes ahead remains Sara’s decision.</w:t>
      </w:r>
    </w:p>
    <w:bookmarkEnd w:id="28"/>
    <w:bookmarkStart w:id="29" w:name="X6f816d457733d36f30e6c85d5e486513bae198a"/>
    <w:p>
      <w:pPr>
        <w:pStyle w:val="Heading3"/>
      </w:pPr>
      <w:r>
        <w:t xml:space="preserve">A8. What the sponsor must accept or configure</w:t>
      </w:r>
    </w:p>
    <w:p>
      <w:pPr>
        <w:pStyle w:val="FirstParagraph"/>
      </w:pPr>
      <w:r>
        <w:t xml:space="preserve">No contract for signature in ink was found. The rows below set out what Prolific’s pages require of a researcher who accepts its terms. Whether Sleep and Health Clinic App Ltd accepts those terms is Sara’s decision, and the rows are a summary of Prolific’s requirements rather than instructions from these notes.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Action</w:t>
            </w:r>
          </w:p>
        </w:tc>
        <w:tc>
          <w:tcPr/>
          <w:p>
            <w:pPr>
              <w:pStyle w:val="Compact"/>
            </w:pPr>
            <w:r>
              <w:t xml:space="preserve">Source</w:t>
            </w:r>
          </w:p>
        </w:tc>
      </w:tr>
      <w:tr>
        <w:tc>
          <w:tcPr/>
          <w:p>
            <w:pPr>
              <w:pStyle w:val="Compact"/>
            </w:pPr>
            <w:r>
              <w:t xml:space="preserve">Create the researcher account and accept the Researcher Terms, which are governed by the laws of England and Wales.</w:t>
            </w:r>
          </w:p>
        </w:tc>
        <w:tc>
          <w:tcPr/>
          <w:p>
            <w:pPr>
              <w:pStyle w:val="Compact"/>
            </w:pPr>
            <w:r>
              <w:t xml:space="preserve">Researcher Terms, section V:</w:t>
            </w:r>
            <w:r>
              <w:t xml:space="preserve"> </w:t>
            </w:r>
            <w:r>
              <w:t xml:space="preserve">“Your agreement with us under these Terms is governed by the laws of England and Wales…”</w:t>
            </w:r>
          </w:p>
        </w:tc>
      </w:tr>
      <w:tr>
        <w:tc>
          <w:tcPr/>
          <w:p>
            <w:pPr>
              <w:pStyle w:val="Compact"/>
            </w:pPr>
            <w:r>
              <w:t xml:space="preserve">Use Prolific’s standard terms rather than sending the sponsor’s own purchase terms for signature. Ask Prolific for its standard-form amendment only if a constitutional or local-law point needs it.</w:t>
            </w:r>
          </w:p>
        </w:tc>
        <w:tc>
          <w:tcPr/>
          <w:p>
            <w:pPr>
              <w:pStyle w:val="Compact"/>
            </w:pPr>
            <w:r>
              <w:t xml:space="preserve">Supplier article, 23 June 2026.</w:t>
            </w:r>
          </w:p>
        </w:tc>
      </w:tr>
      <w:tr>
        <w:tc>
          <w:tcPr/>
          <w:p>
            <w:pPr>
              <w:pStyle w:val="Compact"/>
            </w:pPr>
            <w:r>
              <w:t xml:space="preserve">Make the sponsor’s identity clear in the study listing and provide a privacy notice; the listing tool has an upload for the notice.</w:t>
            </w:r>
          </w:p>
        </w:tc>
        <w:tc>
          <w:tcPr/>
          <w:p>
            <w:pPr>
              <w:pStyle w:val="Compact"/>
            </w:pPr>
            <w:r>
              <w:t xml:space="preserve">Researcher Terms, section N:</w:t>
            </w:r>
            <w:r>
              <w:t xml:space="preserve"> </w:t>
            </w:r>
            <w:r>
              <w:t xml:space="preserve">“You must ensure that in any Study listing your identity is clear and the Participant is provided with or directed to a privacy notice… the Study listing tool on Prolific will allow you to upload a privacy notice.”</w:t>
            </w:r>
          </w:p>
        </w:tc>
      </w:tr>
      <w:tr>
        <w:tc>
          <w:tcPr/>
          <w:p>
            <w:pPr>
              <w:pStyle w:val="Compact"/>
            </w:pPr>
            <w:r>
              <w:t xml:space="preserve">Take consent before collecting any data, including demographics. Record a checkbox or button and a timestamp next to the Prolific ID. If the person declines, return the submission through Prolific’s</w:t>
            </w:r>
            <w:r>
              <w:t xml:space="preserve"> </w:t>
            </w:r>
            <w:r>
              <w:t xml:space="preserve">“stop without completing”</w:t>
            </w:r>
            <w:r>
              <w:t xml:space="preserve"> </w:t>
            </w:r>
            <w:r>
              <w:t xml:space="preserve">route.</w:t>
            </w:r>
          </w:p>
        </w:tc>
        <w:tc>
          <w:tcPr/>
          <w:p>
            <w:pPr>
              <w:pStyle w:val="Compact"/>
            </w:pPr>
            <w:r>
              <w:t xml:space="preserve">Getting consent, 18 June 2026; IRB article, 4 August 2026.</w:t>
            </w:r>
          </w:p>
        </w:tc>
      </w:tr>
      <w:tr>
        <w:tc>
          <w:tcPr/>
          <w:p>
            <w:pPr>
              <w:pStyle w:val="Compact"/>
            </w:pPr>
            <w:r>
              <w:t xml:space="preserve">Capture the Prolific ID as a URL parameter, and test the completion code and completion web address.</w:t>
            </w:r>
          </w:p>
        </w:tc>
        <w:tc>
          <w:tcPr/>
          <w:p>
            <w:pPr>
              <w:pStyle w:val="Compact"/>
            </w:pPr>
            <w:r>
              <w:t xml:space="preserve">IDs article.</w:t>
            </w:r>
          </w:p>
        </w:tc>
      </w:tr>
      <w:tr>
        <w:tc>
          <w:tcPr/>
          <w:p>
            <w:pPr>
              <w:pStyle w:val="Compact"/>
            </w:pPr>
            <w:r>
              <w:t xml:space="preserve">State in the notice and the consent that special category data (insomnia, and pregnancy status if asked) will be collected, why, who sees them, how long they are kept, and how to withdraw and request deletion. The lawful basis for Sleep and Health Clinic App Ltd stays as legitimate interests (proposed), to be confirmed by the Data Protection Officer; Prolific’s role as controller of account data does not settle that basis.</w:t>
            </w:r>
          </w:p>
        </w:tc>
        <w:tc>
          <w:tcPr/>
          <w:p>
            <w:pPr>
              <w:pStyle w:val="Compact"/>
            </w:pPr>
            <w:r>
              <w:t xml:space="preserve">Getting consent, 18 June 2026.</w:t>
            </w:r>
          </w:p>
        </w:tc>
      </w:tr>
      <w:tr>
        <w:tc>
          <w:tcPr/>
          <w:p>
            <w:pPr>
              <w:pStyle w:val="Compact"/>
            </w:pPr>
            <w:r>
              <w:t xml:space="preserve">Host the questions that collect special category data outside Prolific, because the Survey Builder terms exclude them.</w:t>
            </w:r>
          </w:p>
        </w:tc>
        <w:tc>
          <w:tcPr/>
          <w:p>
            <w:pPr>
              <w:pStyle w:val="Compact"/>
            </w:pPr>
            <w:r>
              <w:t xml:space="preserve">Survey Builder terms and FAQ, 28 July 2026.</w:t>
            </w:r>
          </w:p>
        </w:tc>
      </w:tr>
      <w:tr>
        <w:tc>
          <w:tcPr/>
          <w:p>
            <w:pPr>
              <w:pStyle w:val="Compact"/>
            </w:pPr>
            <w:r>
              <w:t xml:space="preserve">Obtain Prolific’s written approval before collecting any direct identifier, and wait for that approval before starting the collection.</w:t>
            </w:r>
          </w:p>
        </w:tc>
        <w:tc>
          <w:tcPr/>
          <w:p>
            <w:pPr>
              <w:pStyle w:val="Compact"/>
            </w:pPr>
            <w:r>
              <w:t xml:space="preserve">Identifiers article, 5 August 2026.</w:t>
            </w:r>
          </w:p>
        </w:tc>
      </w:tr>
      <w:tr>
        <w:tc>
          <w:tcPr/>
          <w:p>
            <w:pPr>
              <w:pStyle w:val="Compact"/>
            </w:pPr>
            <w:r>
              <w:t xml:space="preserve">Message participants only inside Prolific, and only about the study.</w:t>
            </w:r>
          </w:p>
        </w:tc>
        <w:tc>
          <w:tcPr/>
          <w:p>
            <w:pPr>
              <w:pStyle w:val="Compact"/>
            </w:pPr>
            <w:r>
              <w:t xml:space="preserve">Researcher Terms, section N, and the personal-data article, 5 August 2026.</w:t>
            </w:r>
          </w:p>
        </w:tc>
      </w:tr>
      <w:tr>
        <w:tc>
          <w:tcPr/>
          <w:p>
            <w:pPr>
              <w:pStyle w:val="Compact"/>
            </w:pPr>
            <w:r>
              <w:t xml:space="preserve">Pay at least the published minimum, through Prolific.</w:t>
            </w:r>
          </w:p>
        </w:tc>
        <w:tc>
          <w:tcPr/>
          <w:p>
            <w:pPr>
              <w:pStyle w:val="Compact"/>
            </w:pPr>
            <w:r>
              <w:t xml:space="preserve">IRB article, 4 August 2026.</w:t>
            </w:r>
          </w:p>
        </w:tc>
      </w:tr>
      <w:tr>
        <w:tc>
          <w:tcPr/>
          <w:p>
            <w:pPr>
              <w:pStyle w:val="Compact"/>
            </w:pPr>
            <w:r>
              <w:t xml:space="preserve">If the content may be distressing, set Prolific’s content warning, consider the prescreener for harmful content, debrief before the completion code and signpost support.</w:t>
            </w:r>
          </w:p>
        </w:tc>
        <w:tc>
          <w:tcPr/>
          <w:p>
            <w:pPr>
              <w:pStyle w:val="Compact"/>
            </w:pPr>
            <w:r>
              <w:t xml:space="preserve">Sensitive-content article, 11 December 2025.</w:t>
            </w:r>
          </w:p>
        </w:tc>
      </w:tr>
      <w:tr>
        <w:tc>
          <w:tcPr/>
          <w:p>
            <w:pPr>
              <w:pStyle w:val="Compact"/>
            </w:pPr>
            <w:r>
              <w:t xml:space="preserve">Remove Prolific IDs before any public deposit of data.</w:t>
            </w:r>
          </w:p>
        </w:tc>
        <w:tc>
          <w:tcPr/>
          <w:p>
            <w:pPr>
              <w:pStyle w:val="Compact"/>
            </w:pPr>
            <w:r>
              <w:t xml:space="preserve">IDs article.</w:t>
            </w:r>
          </w:p>
        </w:tc>
      </w:tr>
    </w:tbl>
    <w:p>
      <w:pPr>
        <w:pStyle w:val="BodyText"/>
      </w:pPr>
      <w:r>
        <w:t xml:space="preserve">The terms also say that the help centre’s views on the law are not advice on which the sponsor can rely:</w:t>
      </w:r>
      <w:r>
        <w:t xml:space="preserve"> </w:t>
      </w:r>
      <w:r>
        <w:t xml:space="preserve">“none of that content constitutes legal or professional advice on which you may rely.”</w:t>
      </w:r>
    </w:p>
    <w:p>
      <w:r>
        <w:pict>
          <v:rect style="width:0;height:1.5pt" o:hralign="center" o:hrstd="t" o:hr="t"/>
        </w:pict>
      </w:r>
    </w:p>
    <w:bookmarkEnd w:id="29"/>
    <w:bookmarkEnd w:id="30"/>
    <w:bookmarkStart w:id="40" w:name="part-b-when-the-mhra-must-be-told"/>
    <w:p>
      <w:pPr>
        <w:pStyle w:val="Heading2"/>
      </w:pPr>
      <w:r>
        <w:t xml:space="preserve">Part B: When the MHRA must be told</w:t>
      </w:r>
    </w:p>
    <w:bookmarkStart w:id="31" w:name="Xb0402a518a3c6908756aa5c34e6255f1fc2ae69"/>
    <w:p>
      <w:pPr>
        <w:pStyle w:val="Heading3"/>
      </w:pPr>
      <w:r>
        <w:t xml:space="preserve">The statute that matters is regulation 16, not regulation 29</w:t>
      </w:r>
    </w:p>
    <w:p>
      <w:pPr>
        <w:pStyle w:val="FirstParagraph"/>
      </w:pPr>
      <w:r>
        <w:rPr>
          <w:b/>
          <w:bCs/>
        </w:rPr>
        <w:t xml:space="preserve">Legal requirement.</w:t>
      </w:r>
      <w:r>
        <w:t xml:space="preserve"> </w:t>
      </w:r>
      <w:r>
        <w:t xml:space="preserve">As smartphone software for insomnia, Lazoo is a general medical device if it meets the definition in regulation 2; it is not an active implantable device. In Great Britain, notification for a general medical device falls under</w:t>
      </w:r>
      <w:r>
        <w:t xml:space="preserve"> </w:t>
      </w:r>
      <w:r>
        <w:rPr>
          <w:b/>
          <w:bCs/>
        </w:rPr>
        <w:t xml:space="preserve">regulation 16</w:t>
      </w:r>
      <w:r>
        <w:t xml:space="preserve">, in Part II of the Regulations.</w:t>
      </w:r>
      <w:r>
        <w:t xml:space="preserve"> </w:t>
      </w:r>
      <w:r>
        <w:rPr>
          <w:b/>
          <w:bCs/>
        </w:rPr>
        <w:t xml:space="preserve">Regulation 29</w:t>
      </w:r>
      <w:r>
        <w:t xml:space="preserve">, in Part III, sets out the same kind of duty for</w:t>
      </w:r>
      <w:r>
        <w:t xml:space="preserve"> </w:t>
      </w:r>
      <w:r>
        <w:rPr>
          <w:b/>
          <w:bCs/>
        </w:rPr>
        <w:t xml:space="preserve">active implantable</w:t>
      </w:r>
      <w:r>
        <w:t xml:space="preserve"> </w:t>
      </w:r>
      <w:r>
        <w:t xml:space="preserve">devices, so citing regulation 29 as the duty for Lazoo would point to the wrong Part.</w:t>
      </w:r>
    </w:p>
    <w:p>
      <w:pPr>
        <w:pStyle w:val="BodyText"/>
      </w:pPr>
      <w:r>
        <w:t xml:space="preserve">MHRA guidance often refers to</w:t>
      </w:r>
      <w:r>
        <w:t xml:space="preserve"> </w:t>
      </w:r>
      <w:r>
        <w:t xml:space="preserve">“regulations 16 and 29”</w:t>
      </w:r>
      <w:r>
        <w:t xml:space="preserve"> </w:t>
      </w:r>
      <w:r>
        <w:t xml:space="preserve">because a single flowchart covers both families of device. That citation is shorthand in guidance and does not move Lazoo into Part III.</w:t>
      </w:r>
    </w:p>
    <w:p>
      <w:pPr>
        <w:pStyle w:val="BodyText"/>
      </w:pPr>
      <w:r>
        <w:t xml:space="preserve">Regulation 16(1), Great Britain text, https://www.legislation.gov.uk/uksi/2002/618/regulation/16, accessed on 12 October 2026:</w:t>
      </w:r>
    </w:p>
    <w:p>
      <w:pPr>
        <w:pStyle w:val="BlockText"/>
      </w:pPr>
      <w:r>
        <w:t xml:space="preserve">“Subject to paragraph (2), no person shall supply a relevant device (if that supply is also a making available of the device) for the purposes of a clinical investigation in Great Britain unless, before he does so, the manufacturer of the device or their UK responsible person has given at least 60 days prior notice in writing to the Secretary of State of the intended investigation…”</w:t>
      </w:r>
    </w:p>
    <w:p>
      <w:pPr>
        <w:pStyle w:val="FirstParagraph"/>
      </w:pPr>
      <w:r>
        <w:t xml:space="preserve">The notice must consist of the statement required by sections 1 and 2.2 of Annex VIII, read with Regulation (EU) No 722/2012, together with an undertaking to keep the documentation described in section 3.2 of Annex VIII for at least five years.</w:t>
      </w:r>
    </w:p>
    <w:p>
      <w:pPr>
        <w:pStyle w:val="BodyText"/>
      </w:pPr>
      <w:r>
        <w:t xml:space="preserve">Regulation 16(10):</w:t>
      </w:r>
    </w:p>
    <w:p>
      <w:pPr>
        <w:pStyle w:val="BlockText"/>
      </w:pPr>
      <w:r>
        <w:t xml:space="preserve">“No person shall conduct a clinical investigation of a relevant device otherwise than in accordance with Annex X; and otherwise than in accordance with any conditions imposed by the Secretary of State…”</w:t>
      </w:r>
    </w:p>
    <w:p>
      <w:pPr>
        <w:pStyle w:val="FirstParagraph"/>
      </w:pPr>
      <w:r>
        <w:t xml:space="preserve">The manufacturer must keep available the report referred to in section 2.3.7 of Annex X. The text of Annex X itself was not read again for these notes, and the section number given is the one that the regulation prints.</w:t>
      </w:r>
    </w:p>
    <w:p>
      <w:pPr>
        <w:pStyle w:val="BodyText"/>
      </w:pPr>
      <w:r>
        <w:t xml:space="preserve">Regulation 16(2) is the exception for marked devices:</w:t>
      </w:r>
    </w:p>
    <w:p>
      <w:pPr>
        <w:pStyle w:val="BlockText"/>
      </w:pPr>
      <w:r>
        <w:t xml:space="preserve">“Paragraph (1) shall not apply in respect of an intended clinical investigation of a relevant device that bears a UK marking otherwise than in breach of regulation 13, unless the aim of the intended investigation is to determine whether the device may be used for a purpose other than that in respect of which it was UK marked in accordance with regulation 13.”</w:t>
      </w:r>
    </w:p>
    <w:p>
      <w:pPr>
        <w:pStyle w:val="FirstParagraph"/>
      </w:pPr>
      <w:r>
        <w:t xml:space="preserve">Regulation 29(1) uses the same structure of</w:t>
      </w:r>
      <w:r>
        <w:t xml:space="preserve"> </w:t>
      </w:r>
      <w:r>
        <w:t xml:space="preserve">“supply”</w:t>
      </w:r>
      <w:r>
        <w:t xml:space="preserve"> </w:t>
      </w:r>
      <w:r>
        <w:t xml:space="preserve">and</w:t>
      </w:r>
      <w:r>
        <w:t xml:space="preserve"> </w:t>
      </w:r>
      <w:r>
        <w:t xml:space="preserve">“60 days prior notice”</w:t>
      </w:r>
      <w:r>
        <w:t xml:space="preserve"> </w:t>
      </w:r>
      <w:r>
        <w:t xml:space="preserve">for an active implantable device, and refers to Annexes 6 and 7 rather than Annexes VIII and X (https://www.legislation.gov.uk/uksi/2002/618/regulation/29, accessed on 12 October 2026). It is quoted here only to make the distinction between the Parts clear; it is not the duty that applies to Lazoo.</w:t>
      </w:r>
    </w:p>
    <w:p>
      <w:pPr>
        <w:pStyle w:val="BodyText"/>
      </w:pPr>
      <w:r>
        <w:rPr>
          <w:b/>
          <w:bCs/>
        </w:rPr>
        <w:t xml:space="preserve">What</w:t>
      </w:r>
      <w:r>
        <w:rPr>
          <w:b/>
          <w:bCs/>
        </w:rPr>
        <w:t xml:space="preserve"> </w:t>
      </w:r>
      <w:r>
        <w:rPr>
          <w:b/>
          <w:bCs/>
        </w:rPr>
        <w:t xml:space="preserve">“clinical investigation”</w:t>
      </w:r>
      <w:r>
        <w:rPr>
          <w:b/>
          <w:bCs/>
        </w:rPr>
        <w:t xml:space="preserve"> </w:t>
      </w:r>
      <w:r>
        <w:rPr>
          <w:b/>
          <w:bCs/>
        </w:rPr>
        <w:t xml:space="preserve">means in the statute.</w:t>
      </w:r>
      <w:r>
        <w:t xml:space="preserve"> </w:t>
      </w:r>
      <w:r>
        <w:t xml:space="preserve">On the text read, regulation 2 contains</w:t>
      </w:r>
      <w:r>
        <w:t xml:space="preserve"> </w:t>
      </w:r>
      <w:r>
        <w:rPr>
          <w:b/>
          <w:bCs/>
        </w:rPr>
        <w:t xml:space="preserve">no</w:t>
      </w:r>
      <w:r>
        <w:t xml:space="preserve"> </w:t>
      </w:r>
      <w:r>
        <w:t xml:space="preserve">free-standing definition of the words</w:t>
      </w:r>
      <w:r>
        <w:t xml:space="preserve"> </w:t>
      </w:r>
      <w:r>
        <w:t xml:space="preserve">“clinical investigation”</w:t>
      </w:r>
      <w:r>
        <w:t xml:space="preserve">. It does define</w:t>
      </w:r>
      <w:r>
        <w:t xml:space="preserve"> </w:t>
      </w:r>
      <w:r>
        <w:rPr>
          <w:b/>
          <w:bCs/>
        </w:rPr>
        <w:t xml:space="preserve">“intended for clinical investigation”</w:t>
      </w:r>
      <w:r>
        <w:t xml:space="preserve"> </w:t>
      </w:r>
      <w:r>
        <w:t xml:space="preserve">(https://www.legislation.gov.uk/uksi/2002/618/regulation/2, accessed on 12 October 2026):</w:t>
      </w:r>
    </w:p>
    <w:p>
      <w:pPr>
        <w:pStyle w:val="BlockText"/>
      </w:pPr>
      <w:r>
        <w:t xml:space="preserve">“(a) intended for use by a registered medical practitioner when conducting investigations of that device in an adequate human clinical environment; or (b) intended for use by any other person in Great Britain who, by virtue of their professional qualification, is authorised to carry out investigations of that device in an adequate human clinical environment.”</w:t>
      </w:r>
    </w:p>
    <w:p>
      <w:pPr>
        <w:pStyle w:val="FirstParagraph"/>
      </w:pPr>
      <w:r>
        <w:t xml:space="preserve">That definition sets out the category of investigational devices for the purposes of placing on the market. Whether it also limits the duty under regulation 16 is</w:t>
      </w:r>
      <w:r>
        <w:t xml:space="preserve"> </w:t>
      </w:r>
      <w:r>
        <w:rPr>
          <w:b/>
          <w:bCs/>
        </w:rPr>
        <w:t xml:space="preserve">not confirmed</w:t>
      </w:r>
      <w:r>
        <w:t xml:space="preserve"> </w:t>
      </w:r>
      <w:r>
        <w:t xml:space="preserve">by any case or by the MHRA. It is the main statutory basis for the argument, set out below, that a study with no clinician and no clinic falls outside the duty.</w:t>
      </w:r>
    </w:p>
    <w:p>
      <w:pPr>
        <w:pStyle w:val="BodyText"/>
      </w:pPr>
      <w:r>
        <w:rPr>
          <w:b/>
          <w:bCs/>
        </w:rPr>
        <w:t xml:space="preserve">Medical device and intended purpose: regulation 2, read on 12 October 2026.</w:t>
      </w:r>
      <w:r>
        <w:t xml:space="preserve"> </w:t>
      </w:r>
      <w:r>
        <w:t xml:space="preserve">https://www.legislation.gov.uk/uksi/2002/618/regulation/2. Great Britain revised text:</w:t>
      </w:r>
    </w:p>
    <w:p>
      <w:pPr>
        <w:pStyle w:val="BlockText"/>
      </w:pPr>
      <w:r>
        <w:t xml:space="preserve">“medical device”</w:t>
      </w:r>
      <w:r>
        <w:t xml:space="preserve"> </w:t>
      </w:r>
      <w:r>
        <w:t xml:space="preserve">means any instrument, apparatus, appliance, software, material or other article, whether used alone or in combination, together with any accessories, including the software intended by its manufacturer to be used specifically for diagnosis or therapeutic purposes or both and necessary for its proper application, which— (a) is intended by the manufacturer to be used for human beings for the purpose of— (i) diagnosis, prevention, monitoring, treatment or alleviation of disease, (ii) diagnosis, monitoring, treatment, alleviation of or compensation for an injury or handicap, (iii) investigation, replacement or modification of the anatomy or of a physiological process, or (iv) control of conception; and (b) does not achieve its principal intended action in or on the human body by pharmacological, immunological or metabolic means, even if it is assisted in its function by such means…</w:t>
      </w:r>
    </w:p>
    <w:p>
      <w:pPr>
        <w:pStyle w:val="BlockText"/>
      </w:pPr>
      <w:r>
        <w:t xml:space="preserve">“intended purpose”</w:t>
      </w:r>
      <w:r>
        <w:t xml:space="preserve"> </w:t>
      </w:r>
      <w:r>
        <w:t xml:space="preserve">means— … (b) in relation to any other medical device, the use to which the device is intended according to the data supplied by the manufacturer on the labelling, the instructions for use and/or the promotional materials.</w:t>
      </w:r>
    </w:p>
    <w:p>
      <w:pPr>
        <w:pStyle w:val="FirstParagraph"/>
      </w:pPr>
      <w:r>
        <w:t xml:space="preserve">Footnote markers on the legislation page are omitted here, and the operative words are those printed on that page. The MHRA’s guidance on the health institution exemption, updated on 20 January 2026, quotes the same definition (https://www.gov.uk/government/publications/health-institution-exemption-for-general-medical-devices/general-information-on-the-health-institution-exemption). The statute page is the source used for the inference below.</w:t>
      </w:r>
    </w:p>
    <w:bookmarkEnd w:id="31"/>
    <w:bookmarkStart w:id="32" w:name="Xad31eab06a52e2fd758c567153c9b2b51efaa31"/>
    <w:p>
      <w:pPr>
        <w:pStyle w:val="Heading3"/>
      </w:pPr>
      <w:r>
        <w:t xml:space="preserve">INFERENCE: notice of 60 days is likely to be needed, including where the study is monitoring only</w:t>
      </w:r>
    </w:p>
    <w:p>
      <w:pPr>
        <w:pStyle w:val="FirstParagraph"/>
      </w:pPr>
      <w:r>
        <w:rPr>
          <w:b/>
          <w:bCs/>
        </w:rPr>
        <w:t xml:space="preserve">INFERENCE.</w:t>
      </w:r>
      <w:r>
        <w:t xml:space="preserve"> </w:t>
      </w:r>
      <w:r>
        <w:t xml:space="preserve">This is not a decision and it is not an MHRA finding on Lazoo. Sara, as sponsor, accepts or rejects it for sections 3 and 16 of the protocol.</w:t>
      </w:r>
    </w:p>
    <w:p>
      <w:pPr>
        <w:pStyle w:val="BodyText"/>
      </w:pPr>
      <w:r>
        <w:t xml:space="preserve">The reading is as follows. If Lazoo is supplied to participants so that its performance can be studied, and the manufacturer’s intended purpose remains the diagnosis or monitoring of insomnia, notice under regulation 16 is likely to be needed, at least 60 days before the supply. On this reading, heading the protocol</w:t>
      </w:r>
      <w:r>
        <w:t xml:space="preserve"> </w:t>
      </w:r>
      <w:r>
        <w:t xml:space="preserve">“monitoring only”</w:t>
      </w:r>
      <w:r>
        <w:t xml:space="preserve"> </w:t>
      </w:r>
      <w:r>
        <w:t xml:space="preserve">does not remove that step while the intended purpose remains the monitoring of a disease.</w:t>
      </w:r>
    </w:p>
    <w:p>
      <w:pPr>
        <w:pStyle w:val="BodyText"/>
      </w:pPr>
      <w:r>
        <w:t xml:space="preserve">Two sources are combined, and no third source is treated as deciding the point.</w:t>
      </w:r>
    </w:p>
    <w:p>
      <w:pPr>
        <w:pStyle w:val="BodyText"/>
      </w:pPr>
      <w:r>
        <w:rPr>
          <w:b/>
          <w:bCs/>
        </w:rPr>
        <w:t xml:space="preserve">1. UK Medical Devices Regulations 2002, regulation 2.</w:t>
      </w:r>
      <w:r>
        <w:t xml:space="preserve"> </w:t>
      </w:r>
      <w:r>
        <w:t xml:space="preserve">This regulation contains the definitions of</w:t>
      </w:r>
      <w:r>
        <w:t xml:space="preserve"> </w:t>
      </w:r>
      <w:r>
        <w:t xml:space="preserve">“medical device”</w:t>
      </w:r>
      <w:r>
        <w:t xml:space="preserve"> </w:t>
      </w:r>
      <w:r>
        <w:t xml:space="preserve">and</w:t>
      </w:r>
      <w:r>
        <w:t xml:space="preserve"> </w:t>
      </w:r>
      <w:r>
        <w:t xml:space="preserve">“intended purpose”</w:t>
      </w:r>
      <w:r>
        <w:t xml:space="preserve"> </w:t>
      </w:r>
      <w:r>
        <w:t xml:space="preserve">(https://www.legislation.gov.uk/uksi/2002/618/regulation/2,</w:t>
      </w:r>
      <w:r>
        <w:t xml:space="preserve"> </w:t>
      </w:r>
      <w:r>
        <w:rPr>
          <w:b/>
          <w:bCs/>
        </w:rPr>
        <w:t xml:space="preserve">read on 12 October 2026</w:t>
      </w:r>
      <w:r>
        <w:t xml:space="preserve">), quoted in the subsection above. Software that the manufacturer intends for the diagnosis or monitoring of disease falls within the definition of a medical device. For a device that is not an active implantable, the intended purpose is the use described in the manufacturer’s labelling, instructions for use and/or promotional materials. Regulation 2 does not itself mention 60 days. The 60 days are the prior notice in regulation 16(1), quoted above, which applies where a supply is also a making available for a clinical investigation. On the text read, regulation 2 contains no free-standing definition of</w:t>
      </w:r>
      <w:r>
        <w:t xml:space="preserve"> </w:t>
      </w:r>
      <w:r>
        <w:t xml:space="preserve">“clinical investigation”</w:t>
      </w:r>
      <w:r>
        <w:t xml:space="preserve">.</w:t>
      </w:r>
    </w:p>
    <w:p>
      <w:pPr>
        <w:pStyle w:val="BodyText"/>
      </w:pPr>
      <w:r>
        <w:rPr>
          <w:b/>
          <w:bCs/>
        </w:rPr>
        <w:t xml:space="preserve">2. The MHRA’s August 2025 flow chart for clinical investigations in Great Britain.</w:t>
      </w:r>
      <w:r>
        <w:t xml:space="preserve"> </w:t>
      </w:r>
      <w:r>
        <w:t xml:space="preserve">Its history and current form are as follows.</w:t>
      </w:r>
    </w:p>
    <w:p>
      <w:pPr>
        <w:pStyle w:val="BodyText"/>
      </w:pPr>
      <w:r>
        <w:t xml:space="preserve">The notify page, https://www.gov.uk/guidance/notify-mhra-about-a-clinical-investigation-for-a-medical-device, was</w:t>
      </w:r>
      <w:r>
        <w:t xml:space="preserve"> </w:t>
      </w:r>
      <w:r>
        <w:rPr>
          <w:b/>
          <w:bCs/>
        </w:rPr>
        <w:t xml:space="preserve">read on 12 October 2026</w:t>
      </w:r>
      <w:r>
        <w:t xml:space="preserve">. Its last-updated line is 12 August 2026. Update 22, dated</w:t>
      </w:r>
      <w:r>
        <w:t xml:space="preserve"> </w:t>
      </w:r>
      <w:r>
        <w:rPr>
          <w:b/>
          <w:bCs/>
        </w:rPr>
        <w:t xml:space="preserve">27 August 2025</w:t>
      </w:r>
      <w:r>
        <w:t xml:space="preserve">, reads:</w:t>
      </w:r>
      <w:r>
        <w:t xml:space="preserve"> </w:t>
      </w:r>
      <w:r>
        <w:t xml:space="preserve">“Added new flow chart and guidance documentation for UK and Northern Ireland.”</w:t>
      </w:r>
      <w:r>
        <w:t xml:space="preserve"> </w:t>
      </w:r>
      <w:r>
        <w:t xml:space="preserve">The same page still says:</w:t>
      </w:r>
      <w:r>
        <w:t xml:space="preserve"> </w:t>
      </w:r>
      <w:r>
        <w:t xml:space="preserve">“In August 2025, MHRA published updated versions of these documents.”</w:t>
      </w:r>
    </w:p>
    <w:p>
      <w:pPr>
        <w:pStyle w:val="BodyText"/>
      </w:pPr>
      <w:r>
        <w:t xml:space="preserve">The accompanying guidance of August 2025 is at https://assets.publishing.service.gov.uk/media/68a87c553a052c9c504c8db0/GB_Flow_Chart_Accompanying_Guidance_v2.pdf. Its asset identifier decodes to</w:t>
      </w:r>
      <w:r>
        <w:t xml:space="preserve"> </w:t>
      </w:r>
      <w:r>
        <w:rPr>
          <w:b/>
          <w:bCs/>
        </w:rPr>
        <w:t xml:space="preserve">22 August 2025, 14:19 UTC (15:19 UK time)</w:t>
      </w:r>
      <w:r>
        <w:t xml:space="preserve">. When</w:t>
      </w:r>
      <w:r>
        <w:t xml:space="preserve"> </w:t>
      </w:r>
      <w:r>
        <w:rPr>
          <w:b/>
          <w:bCs/>
        </w:rPr>
        <w:t xml:space="preserve">read on 12 October 2026</w:t>
      </w:r>
      <w:r>
        <w:t xml:space="preserve">, that address returned an</w:t>
      </w:r>
      <w:r>
        <w:t xml:space="preserve"> </w:t>
      </w:r>
      <w:r>
        <w:rPr>
          <w:b/>
          <w:bCs/>
        </w:rPr>
        <w:t xml:space="preserve">HTTP 301</w:t>
      </w:r>
      <w:r>
        <w:t xml:space="preserve"> </w:t>
      </w:r>
      <w:r>
        <w:t xml:space="preserve">redirect to https://assets.publishing.service.gov.uk/media/69247ba05f7777c304ba7ee4/GB_Flow_Chart_Accompanying_Guidance_v3.pdf, whose asset identifier decodes to</w:t>
      </w:r>
      <w:r>
        <w:t xml:space="preserve"> </w:t>
      </w:r>
      <w:r>
        <w:rPr>
          <w:b/>
          <w:bCs/>
        </w:rPr>
        <w:t xml:space="preserve">24 November 2025, 15:37 UTC (15:37 UK time)</w:t>
      </w:r>
      <w:r>
        <w:t xml:space="preserve">. The August 2025 file itself was therefore not the text read; the text read is version 3, its November 2025 successor.</w:t>
      </w:r>
    </w:p>
    <w:p>
      <w:pPr>
        <w:pStyle w:val="BodyText"/>
      </w:pPr>
      <w:r>
        <w:t xml:space="preserve">The flow chart linked from the notify page on 12 October 2026 is version 3, https://assets.publishing.service.gov.uk/media/69247b5dba812a67cb6a569d/MHRA_Flow_Chart_for_Clinical_Investigations_Under_UK_MDR_Version3.png, whose asset identifier decodes to</w:t>
      </w:r>
      <w:r>
        <w:t xml:space="preserve"> </w:t>
      </w:r>
      <w:r>
        <w:rPr>
          <w:b/>
          <w:bCs/>
        </w:rPr>
        <w:t xml:space="preserve">24 November 2025, 15:35 UTC (15:35 UK time)</w:t>
      </w:r>
      <w:r>
        <w:t xml:space="preserve">.</w:t>
      </w:r>
    </w:p>
    <w:p>
      <w:pPr>
        <w:pStyle w:val="BodyText"/>
      </w:pPr>
      <w:r>
        <w:t xml:space="preserve">Version 3 of the accompanying guidance records its own history. Version 1.0, August 2025:</w:t>
      </w:r>
      <w:r>
        <w:t xml:space="preserve"> </w:t>
      </w:r>
      <w:r>
        <w:t xml:space="preserve">“New explanatory document published alongside version 2 of GB flow chart.”</w:t>
      </w:r>
      <w:r>
        <w:t xml:space="preserve"> </w:t>
      </w:r>
      <w:r>
        <w:t xml:space="preserve">Version 3.0, November 2025: row 4 of the previous chart was removed, and the definition of a clinical investigation was expanded so that studies other than those of safety and performance can be clinical investigations under regulations 16 and 29. Under the previous version, leaving the chart meant that regulation 10 required a UKCA or CE mark in order to conduct the study.</w:t>
      </w:r>
    </w:p>
    <w:p>
      <w:pPr>
        <w:pStyle w:val="BodyText"/>
      </w:pPr>
      <w:r>
        <w:t xml:space="preserve">The web notes that explain the current chart are</w:t>
      </w:r>
      <w:r>
        <w:t xml:space="preserve"> </w:t>
      </w:r>
      <w:r>
        <w:t xml:space="preserve">“Determining if a clinical investigations is required”</w:t>
      </w:r>
      <w:r>
        <w:t xml:space="preserve">, updated</w:t>
      </w:r>
      <w:r>
        <w:t xml:space="preserve"> </w:t>
      </w:r>
      <w:r>
        <w:rPr>
          <w:b/>
          <w:bCs/>
        </w:rPr>
        <w:t xml:space="preserve">23 July 2026</w:t>
      </w:r>
      <w:r>
        <w:t xml:space="preserve">, https://www.gov.uk/government/publications/medical-devices-that-need-a-clinical-investigation/determining-if-a-clinical-investigations-is-required. Note 7 says that reaching that step means that notification is required for a device that is not UKCA or CE marked, or that is used off-label, where no exemption applies. Note 3 says that a medical purpose can exist even if the output is not used in the participant’s care. Both notes are quoted in the software section below. The boxes on the chart image are not reproduced here, because the August 2025 image is no longer the file at the August address.</w:t>
      </w:r>
    </w:p>
    <w:p>
      <w:pPr>
        <w:pStyle w:val="BodyText"/>
      </w:pPr>
      <w:r>
        <w:rPr>
          <w:b/>
          <w:bCs/>
        </w:rPr>
        <w:t xml:space="preserve">Why the label is INFERENCE.</w:t>
      </w:r>
      <w:r>
        <w:t xml:space="preserve"> </w:t>
      </w:r>
      <w:r>
        <w:t xml:space="preserve">Regulation 16 applies when a device is supplied for a clinical investigation. Whether this Prolific study involves that kind of supply is the step that the statute does not settle by definition, and it is the step that the MHRA’s chart is written to answer. Placing the words of regulation 2 (diagnosis and monitoring of disease, and an intended purpose taken from the manufacturer’s own materials) next to that chart is a reading, not a letter from the MHRA about Lazoo.</w:t>
      </w:r>
    </w:p>
    <w:p>
      <w:pPr>
        <w:pStyle w:val="BodyText"/>
      </w:pPr>
      <w:r>
        <w:rPr>
          <w:b/>
          <w:bCs/>
        </w:rPr>
        <w:t xml:space="preserve">Monitoring only carries the same label.</w:t>
      </w:r>
      <w:r>
        <w:t xml:space="preserve"> </w:t>
      </w:r>
      <w:r>
        <w:t xml:space="preserve">Regulation 2 lists the monitoring of disease alongside diagnosis. If the labelling, instructions or promotional materials of Sleep and Health Clinic App Ltd still describe the monitoring of insomnia, the intended purpose remains a medical-device purpose on that definition, and the inference is that a monitoring-only study is likely to need the same 60 days’ notice while that purpose stands. The MHRA’s examples on digital mental health, version 1.3, 29 July 2026, are a separate document: Example 1 (wellbeing, poor sleep at sub-clinical level) is not a medical purpose, while Example 2 (insomnia disorder) is. Choosing Example 1 would mean a different intended purpose, which Sara would have to choose; this inference does not assume that choice.</w:t>
      </w:r>
    </w:p>
    <w:p>
      <w:pPr>
        <w:pStyle w:val="BodyText"/>
      </w:pPr>
      <w:r>
        <w:t xml:space="preserve">Sara can ask the MHRA before treating the inference as the protocol’s position. The flowchart guidance of 23 July 2026 asks for an annotated chart to be sent to info@mhra.gov.uk with the subject line</w:t>
      </w:r>
      <w:r>
        <w:t xml:space="preserve"> </w:t>
      </w:r>
      <w:r>
        <w:t xml:space="preserve">“[Company Name] – Is a Clinical Investigation required?”</w:t>
      </w:r>
      <w:r>
        <w:t xml:space="preserve">.</w:t>
      </w:r>
    </w:p>
    <w:bookmarkEnd w:id="32"/>
    <w:bookmarkStart w:id="33" w:name="regulator-guidance-for-the-team-to-use"/>
    <w:p>
      <w:pPr>
        <w:pStyle w:val="Heading3"/>
      </w:pPr>
      <w:r>
        <w:t xml:space="preserve">Regulator guidance for the team to use</w:t>
      </w:r>
    </w:p>
    <w:p>
      <w:pPr>
        <w:pStyle w:val="FirstParagraph"/>
      </w:pPr>
      <w:r>
        <w:t xml:space="preserve">All of the following were accessed on 12 October 2026.</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Document</w:t>
            </w:r>
          </w:p>
        </w:tc>
        <w:tc>
          <w:tcPr/>
          <w:p>
            <w:pPr>
              <w:pStyle w:val="Compact"/>
            </w:pPr>
            <w:r>
              <w:t xml:space="preserve">Date on the page</w:t>
            </w:r>
          </w:p>
        </w:tc>
        <w:tc>
          <w:tcPr/>
          <w:p>
            <w:pPr>
              <w:pStyle w:val="Compact"/>
            </w:pPr>
            <w:r>
              <w:t xml:space="preserve">Web address</w:t>
            </w:r>
          </w:p>
        </w:tc>
      </w:tr>
      <w:tr>
        <w:tc>
          <w:tcPr/>
          <w:p>
            <w:pPr>
              <w:pStyle w:val="Compact"/>
            </w:pPr>
            <w:r>
              <w:t xml:space="preserve">Clinical investigations in Great Britain</w:t>
            </w:r>
          </w:p>
        </w:tc>
        <w:tc>
          <w:tcPr/>
          <w:p>
            <w:pPr>
              <w:pStyle w:val="Compact"/>
            </w:pPr>
            <w:r>
              <w:t xml:space="preserve">Published 31 March 2026, updated 23 July 2026</w:t>
            </w:r>
          </w:p>
        </w:tc>
        <w:tc>
          <w:tcPr/>
          <w:p>
            <w:pPr>
              <w:pStyle w:val="Compact"/>
            </w:pPr>
            <w:r>
              <w:t xml:space="preserve">https://www.gov.uk/guidance/clinical-investigations-in-great-britain</w:t>
            </w:r>
          </w:p>
        </w:tc>
      </w:tr>
      <w:tr>
        <w:tc>
          <w:tcPr/>
          <w:p>
            <w:pPr>
              <w:pStyle w:val="Compact"/>
            </w:pPr>
            <w:r>
              <w:t xml:space="preserve">Determining if a clinical investigation is required</w:t>
            </w:r>
          </w:p>
        </w:tc>
        <w:tc>
          <w:tcPr/>
          <w:p>
            <w:pPr>
              <w:pStyle w:val="Compact"/>
            </w:pPr>
            <w:r>
              <w:t xml:space="preserve">Updated 23 July 2026</w:t>
            </w:r>
          </w:p>
        </w:tc>
        <w:tc>
          <w:tcPr/>
          <w:p>
            <w:pPr>
              <w:pStyle w:val="Compact"/>
            </w:pPr>
            <w:r>
              <w:t xml:space="preserve">https://www.gov.uk/government/publications/medical-devices-that-need-a-clinical-investigation/determining-if-a-clinical-investigations-is-required</w:t>
            </w:r>
          </w:p>
        </w:tc>
      </w:tr>
      <w:tr>
        <w:tc>
          <w:tcPr/>
          <w:p>
            <w:pPr>
              <w:pStyle w:val="Compact"/>
            </w:pPr>
            <w:r>
              <w:t xml:space="preserve">Notify MHRA about a clinical investigation</w:t>
            </w:r>
          </w:p>
        </w:tc>
        <w:tc>
          <w:tcPr/>
          <w:p>
            <w:pPr>
              <w:pStyle w:val="Compact"/>
            </w:pPr>
            <w:r>
              <w:t xml:space="preserve">Updated 12 August 2026. Update of 27 August 2025:</w:t>
            </w:r>
            <w:r>
              <w:t xml:space="preserve"> </w:t>
            </w:r>
            <w:r>
              <w:t xml:space="preserve">“Added new flow chart and guidance documentation for UK and Northern Ireland.”</w:t>
            </w:r>
          </w:p>
        </w:tc>
        <w:tc>
          <w:tcPr/>
          <w:p>
            <w:pPr>
              <w:pStyle w:val="Compact"/>
            </w:pPr>
            <w:r>
              <w:t xml:space="preserve">https://www.gov.uk/guidance/notify-mhra-about-a-clinical-investigation-for-a-medical-device</w:t>
            </w:r>
          </w:p>
        </w:tc>
      </w:tr>
      <w:tr>
        <w:tc>
          <w:tcPr/>
          <w:p>
            <w:pPr>
              <w:pStyle w:val="Compact"/>
            </w:pPr>
            <w:r>
              <w:t xml:space="preserve">August 2025 guidance on the Great Britain flow chart (the file from which the August address now redirects)</w:t>
            </w:r>
          </w:p>
        </w:tc>
        <w:tc>
          <w:tcPr/>
          <w:p>
            <w:pPr>
              <w:pStyle w:val="Compact"/>
            </w:pPr>
            <w:r>
              <w:t xml:space="preserve">Asset identifier decodes to 22 August 2025, 14:19 UTC. On 12 October 2026 the address returned an HTTP 301 redirect to the November 2025 file in the next row.</w:t>
            </w:r>
          </w:p>
        </w:tc>
        <w:tc>
          <w:tcPr/>
          <w:p>
            <w:pPr>
              <w:pStyle w:val="Compact"/>
            </w:pPr>
            <w:r>
              <w:t xml:space="preserve">https://assets.publishing.service.gov.uk/media/68a87c553a052c9c504c8db0/GB_Flow_Chart_Accompanying_Guidance_v2.pdf</w:t>
            </w:r>
          </w:p>
        </w:tc>
      </w:tr>
      <w:tr>
        <w:tc>
          <w:tcPr/>
          <w:p>
            <w:pPr>
              <w:pStyle w:val="Compact"/>
            </w:pPr>
            <w:r>
              <w:t xml:space="preserve">Great Britain flow chart, version 3, and accompanying guidance version 3 (the text actually read)</w:t>
            </w:r>
          </w:p>
        </w:tc>
        <w:tc>
          <w:tcPr/>
          <w:p>
            <w:pPr>
              <w:pStyle w:val="Compact"/>
            </w:pPr>
            <w:r>
              <w:t xml:space="preserve">Asset identifiers decode to 24 November 2025. Notify-page update of 24 November 2025: updates to the Great Britain flow chart and accompanying guidance.</w:t>
            </w:r>
          </w:p>
        </w:tc>
        <w:tc>
          <w:tcPr/>
          <w:p>
            <w:pPr>
              <w:pStyle w:val="Compact"/>
            </w:pPr>
            <w:r>
              <w:t xml:space="preserve">Chart: https://assets.publishing.service.gov.uk/media/69247b5dba812a67cb6a569d/MHRA_Flow_Chart_for_Clinical_Investigations_Under_UK_MDR_Version3.png — Guidance: https://assets.publishing.service.gov.uk/media/69247ba05f7777c304ba7ee4/GB_Flow_Chart_Accompanying_Guidance_v3.pdf</w:t>
            </w:r>
          </w:p>
        </w:tc>
      </w:tr>
      <w:tr>
        <w:tc>
          <w:tcPr/>
          <w:p>
            <w:pPr>
              <w:pStyle w:val="Compact"/>
            </w:pPr>
            <w:r>
              <w:t xml:space="preserve">Compiling a submission, including software</w:t>
            </w:r>
          </w:p>
        </w:tc>
        <w:tc>
          <w:tcPr/>
          <w:p>
            <w:pPr>
              <w:pStyle w:val="Compact"/>
            </w:pPr>
            <w:r>
              <w:t xml:space="preserve">Updated 6 August 2026</w:t>
            </w:r>
          </w:p>
        </w:tc>
        <w:tc>
          <w:tcPr/>
          <w:p>
            <w:pPr>
              <w:pStyle w:val="Compact"/>
            </w:pPr>
            <w:r>
              <w:t xml:space="preserve">https://www.gov.uk/government/publications/clinical-investigations-compiling-a-submission/submitting-a-clinical-investigation-proposal-for-mhra-assessment</w:t>
            </w:r>
          </w:p>
        </w:tc>
      </w:tr>
      <w:tr>
        <w:tc>
          <w:tcPr/>
          <w:p>
            <w:pPr>
              <w:pStyle w:val="Compact"/>
            </w:pPr>
            <w:r>
              <w:t xml:space="preserve">Health institution exemption</w:t>
            </w:r>
          </w:p>
        </w:tc>
        <w:tc>
          <w:tcPr/>
          <w:p>
            <w:pPr>
              <w:pStyle w:val="Compact"/>
            </w:pPr>
            <w:r>
              <w:t xml:space="preserve">Updated 20 January 2026</w:t>
            </w:r>
          </w:p>
        </w:tc>
        <w:tc>
          <w:tcPr/>
          <w:p>
            <w:pPr>
              <w:pStyle w:val="Compact"/>
            </w:pPr>
            <w:r>
              <w:t xml:space="preserve">Web address given in the paragraph above</w:t>
            </w:r>
          </w:p>
        </w:tc>
      </w:tr>
      <w:tr>
        <w:tc>
          <w:tcPr/>
          <w:p>
            <w:pPr>
              <w:pStyle w:val="Compact"/>
            </w:pPr>
            <w:r>
              <w:t xml:space="preserve">Digital mental health technology, qualification and classification, version 1.3</w:t>
            </w:r>
          </w:p>
        </w:tc>
        <w:tc>
          <w:tcPr/>
          <w:p>
            <w:pPr>
              <w:pStyle w:val="Compact"/>
            </w:pPr>
            <w:r>
              <w:t xml:space="preserve">Guidance page updated 29 July 2026; revision history of the PDF dated 29 July 2026</w:t>
            </w:r>
          </w:p>
        </w:tc>
        <w:tc>
          <w:tcPr/>
          <w:p>
            <w:pPr>
              <w:pStyle w:val="Compact"/>
            </w:pPr>
            <w:r>
              <w:t xml:space="preserve">https://www.gov.uk/government/publications/digital-mental-health-technology-qualification-and-classification</w:t>
            </w:r>
          </w:p>
        </w:tc>
      </w:tr>
      <w:tr>
        <w:tc>
          <w:tcPr/>
          <w:p>
            <w:pPr>
              <w:pStyle w:val="Compact"/>
            </w:pPr>
            <w:r>
              <w:t xml:space="preserve">HRA, medical devices and software</w:t>
            </w:r>
          </w:p>
        </w:tc>
        <w:tc>
          <w:tcPr/>
          <w:p>
            <w:pPr>
              <w:pStyle w:val="Compact"/>
            </w:pPr>
            <w:r>
              <w:t xml:space="preserve">Last updated 19 March 2025</w:t>
            </w:r>
          </w:p>
        </w:tc>
        <w:tc>
          <w:tcPr/>
          <w:p>
            <w:pPr>
              <w:pStyle w:val="Compact"/>
            </w:pPr>
            <w:r>
              <w:t xml:space="preserve">https://www.hra.nhs.uk/planning-and-improving-research/policies-standards-legislation/medical-devices-and-software-applications/</w:t>
            </w:r>
          </w:p>
        </w:tc>
      </w:tr>
      <w:tr>
        <w:tc>
          <w:tcPr/>
          <w:p>
            <w:pPr>
              <w:pStyle w:val="Compact"/>
            </w:pPr>
            <w:r>
              <w:t xml:space="preserve">Draft Medical Devices (Amendment) Regulations 2026</w:t>
            </w:r>
          </w:p>
        </w:tc>
        <w:tc>
          <w:tcPr/>
          <w:p>
            <w:pPr>
              <w:pStyle w:val="Compact"/>
            </w:pPr>
            <w:r>
              <w:t xml:space="preserve">MHRA news, 11 May 2026; call for evidence published 11 May 2026; GOV.UK page on COVID-19 test approval last updated 28 September 2026</w:t>
            </w:r>
          </w:p>
        </w:tc>
        <w:tc>
          <w:tcPr/>
          <w:p>
            <w:pPr>
              <w:pStyle w:val="Compact"/>
            </w:pPr>
            <w:r>
              <w:t xml:space="preserve">News: https://www.gov.uk/government/news/mhra-invites-views-on-proposed-changes-to-medical-device-regulation — Call for evidence: https://www.gov.uk/government/calls-for-evidence/pre-market-medical-devices-regulation-stakeholder-impact-survey — Status page: https://www.gov.uk/guidance/covid-19-test-approval-how-to-apply</w:t>
            </w:r>
          </w:p>
        </w:tc>
      </w:tr>
    </w:tbl>
    <w:p>
      <w:pPr>
        <w:pStyle w:val="BodyText"/>
      </w:pPr>
      <w:r>
        <w:t xml:space="preserve">MHRA guidance for Great Britain, 23 July 2026:</w:t>
      </w:r>
    </w:p>
    <w:p>
      <w:pPr>
        <w:pStyle w:val="BlockText"/>
      </w:pPr>
      <w:r>
        <w:t xml:space="preserve">“Before devices intended for clinical investigation in Great Britain are made available to a medical practitioner for the purposes of clinical investigation, the manufacturer or UK Responsible Person (UKRP) of the device must give 60 days of prior notice to the Secretary of State for Health by writing to the MHRA.”</w:t>
      </w:r>
    </w:p>
    <w:p>
      <w:pPr>
        <w:pStyle w:val="BlockText"/>
      </w:pPr>
      <w:r>
        <w:t xml:space="preserve">“The legal requirements as to methodology and ethical considerations relating to clinical investigations conducted in Great Britain are set out in regulations 16 and 29 of the UK MDR and Part II, Annexes VIII and X (general medical devices) and Part III, Annexes 6 and 7 (active implantable devices) of the UK MDR (as modified by Part II of Schedule 2A to the UK MDR).”</w:t>
      </w:r>
    </w:p>
    <w:p>
      <w:pPr>
        <w:pStyle w:val="FirstParagraph"/>
      </w:pPr>
      <w:r>
        <w:t xml:space="preserve">The flowchart guidance, Note 7, 23 July 2026:</w:t>
      </w:r>
    </w:p>
    <w:p>
      <w:pPr>
        <w:pStyle w:val="BlockText"/>
      </w:pPr>
      <w:r>
        <w:t xml:space="preserve">“If you reach this decision step in the flow chart, your device and study require notification to the MHRA. This requirement will apply to medical devices that are not UKCA or CE marked, or devices to be used for a medical purpose other than their UKCA or CE marking (off-label devices), and to which an exemption does not apply.”</w:t>
      </w:r>
    </w:p>
    <w:p>
      <w:pPr>
        <w:pStyle w:val="FirstParagraph"/>
      </w:pPr>
      <w:r>
        <w:t xml:space="preserve">Note 6, on the same page, gives the MHRA’s view on studies that take the</w:t>
      </w:r>
      <w:r>
        <w:t xml:space="preserve"> </w:t>
      </w:r>
      <w:r>
        <w:t xml:space="preserve">“no notification”</w:t>
      </w:r>
      <w:r>
        <w:t xml:space="preserve"> </w:t>
      </w:r>
      <w:r>
        <w:t xml:space="preserve">path and later want to use their data for a UKCA file:</w:t>
      </w:r>
    </w:p>
    <w:p>
      <w:pPr>
        <w:pStyle w:val="BlockText"/>
      </w:pPr>
      <w:r>
        <w:t xml:space="preserve">“Further, all studies intending to use the data collected for conformity assessment of the medical device are required to notify MHRA under UK MDR Regulation 16 and 29 – see note 7, below. It is MHRA’s view that data collected under exempted studies will not be usable as clinical safety or performance data for conformity assessment.”</w:t>
      </w:r>
    </w:p>
    <w:p>
      <w:pPr>
        <w:pStyle w:val="FirstParagraph"/>
      </w:pPr>
      <w:r>
        <w:t xml:space="preserve">That sentence cites regulation 29 as well as regulation 16, but for Lazoo the limb that applies to general devices is regulation 16. The MHRA itself labels the</w:t>
      </w:r>
      <w:r>
        <w:t xml:space="preserve"> </w:t>
      </w:r>
      <w:r>
        <w:t xml:space="preserve">“will not be usable”</w:t>
      </w:r>
      <w:r>
        <w:t xml:space="preserve"> </w:t>
      </w:r>
      <w:r>
        <w:t xml:space="preserve">sentence as its view, so it should be treated as</w:t>
      </w:r>
      <w:r>
        <w:t xml:space="preserve"> </w:t>
      </w:r>
      <w:r>
        <w:rPr>
          <w:b/>
          <w:bCs/>
        </w:rPr>
        <w:t xml:space="preserve">regulator guidance</w:t>
      </w:r>
      <w:r>
        <w:t xml:space="preserve"> </w:t>
      </w:r>
      <w:r>
        <w:t xml:space="preserve">and not as a provision of the statute.</w:t>
      </w:r>
    </w:p>
    <w:bookmarkEnd w:id="33"/>
    <w:bookmarkStart w:id="34" w:name="X59f6153ee3c366ae1cbf8000b0fc4ff97ba8ef6"/>
    <w:p>
      <w:pPr>
        <w:pStyle w:val="Heading3"/>
      </w:pPr>
      <w:r>
        <w:t xml:space="preserve">Software and insomnia, in the MHRA’s own words</w:t>
      </w:r>
    </w:p>
    <w:p>
      <w:pPr>
        <w:pStyle w:val="FirstParagraph"/>
      </w:pPr>
      <w:r>
        <w:rPr>
          <w:b/>
          <w:bCs/>
        </w:rPr>
        <w:t xml:space="preserve">Regulator guidance.</w:t>
      </w:r>
      <w:r>
        <w:t xml:space="preserve"> </w:t>
      </w:r>
      <w:r>
        <w:t xml:space="preserve">Software for insomnia falls within the MHRA’s guidance on digital mental health (version 1.3, 29 July 2026), and two of its examples bear on the question of medical purpose.</w:t>
      </w:r>
    </w:p>
    <w:p>
      <w:pPr>
        <w:pStyle w:val="BodyText"/>
      </w:pPr>
      <w:r>
        <w:t xml:space="preserve">Example 1, which the MHRA says does</w:t>
      </w:r>
      <w:r>
        <w:t xml:space="preserve"> </w:t>
      </w:r>
      <w:r>
        <w:rPr>
          <w:b/>
          <w:bCs/>
        </w:rPr>
        <w:t xml:space="preserve">not</w:t>
      </w:r>
      <w:r>
        <w:t xml:space="preserve"> </w:t>
      </w:r>
      <w:r>
        <w:t xml:space="preserve">have a medical purpose:</w:t>
      </w:r>
    </w:p>
    <w:p>
      <w:pPr>
        <w:pStyle w:val="BlockText"/>
      </w:pPr>
      <w:r>
        <w:t xml:space="preserve">“This product supports treatment of poor sleep. It is only for well-being and when poor sleep would be considered at sub-clinical levels, rather than clinical levels as part of a diagnosable mental health condition.”</w:t>
      </w:r>
    </w:p>
    <w:p>
      <w:pPr>
        <w:pStyle w:val="FirstParagraph"/>
      </w:pPr>
      <w:r>
        <w:t xml:space="preserve">Example 2, which the MHRA says</w:t>
      </w:r>
      <w:r>
        <w:t xml:space="preserve"> </w:t>
      </w:r>
      <w:r>
        <w:rPr>
          <w:b/>
          <w:bCs/>
        </w:rPr>
        <w:t xml:space="preserve">has</w:t>
      </w:r>
      <w:r>
        <w:t xml:space="preserve"> </w:t>
      </w:r>
      <w:r>
        <w:t xml:space="preserve">a medical purpose:</w:t>
      </w:r>
    </w:p>
    <w:p>
      <w:pPr>
        <w:pStyle w:val="BlockText"/>
      </w:pPr>
      <w:r>
        <w:t xml:space="preserve">“This product supports treatment of poor sleep which may be at sub-clinical levels or clinical levels as part of a diagnosable mental health condition such as insomnia disorder, major depressive disorder or generalised anxiety disorder.”</w:t>
      </w:r>
    </w:p>
    <w:p>
      <w:pPr>
        <w:pStyle w:val="FirstParagraph"/>
      </w:pPr>
      <w:r>
        <w:t xml:space="preserve">The same guidance, explaining classification under the UK Medical Devices Regulations and Directive 93/42, says that Rule 10 places active devices intended for diagnosis in Class IIa, including where they allow direct diagnosis, and moves them to Class IIb only in the case of vital physiological parameters where variation could cause immediate danger; its examples are cardiac performance, respiration and activity of the central nervous system. It also says:</w:t>
      </w:r>
    </w:p>
    <w:p>
      <w:pPr>
        <w:pStyle w:val="BlockText"/>
      </w:pPr>
      <w:r>
        <w:t xml:space="preserve">“For devices intended to be used by lay users, provision of an indicative diagnosis may be enough to imply that the device is allowing direct diagnosis.”</w:t>
      </w:r>
    </w:p>
    <w:p>
      <w:pPr>
        <w:pStyle w:val="FirstParagraph"/>
      </w:pPr>
      <w:r>
        <w:rPr>
          <w:b/>
          <w:bCs/>
        </w:rPr>
        <w:t xml:space="preserve">Opinion.</w:t>
      </w:r>
      <w:r>
        <w:t xml:space="preserve"> </w:t>
      </w:r>
      <w:r>
        <w:t xml:space="preserve">The Class IIa label applied by Sleep and Health Clinic App Ltd is consistent with that explanation of Rule 10 if Lazoo gives a lay user an insomnia diagnosis or decisive diagnostic information. These notes do not confirm any MHRA classification decision. The wording of Rule 10 on</w:t>
      </w:r>
      <w:r>
        <w:t xml:space="preserve"> </w:t>
      </w:r>
      <w:r>
        <w:t xml:space="preserve">“direct diagnosis”</w:t>
      </w:r>
      <w:r>
        <w:t xml:space="preserve"> </w:t>
      </w:r>
      <w:r>
        <w:t xml:space="preserve">is the MHRA’s account of the Directive rule as it applies under the UK Medical Devices Regulations, and it is guidance. A medical claim of monitoring only can still make the product a device, because regulation 2 includes the monitoring of disease. The software rules of the EU Medical Device Regulation in section 8.2 of the same PDF matter for Northern Ireland, or if the sponsor chooses to follow the EU Regulation for a submission in Great Britain; they are not the current classification rules for Great Britain.</w:t>
      </w:r>
    </w:p>
    <w:p>
      <w:pPr>
        <w:pStyle w:val="BodyText"/>
      </w:pPr>
      <w:r>
        <w:t xml:space="preserve">The flowchart page, Note 3, 23 July 2026, says that general monitoring of fitness and wellbeing is not usually a medical purpose, and that software is most likely to be a device if</w:t>
      </w:r>
      <w:r>
        <w:t xml:space="preserve"> </w:t>
      </w:r>
      <w:r>
        <w:t xml:space="preserve">“it results in a diagnosis or prognosis of future risk of disease”</w:t>
      </w:r>
      <w:r>
        <w:t xml:space="preserve">. It also says that a medical purpose can exist even when nobody acts on the output:</w:t>
      </w:r>
    </w:p>
    <w:p>
      <w:pPr>
        <w:pStyle w:val="BlockText"/>
      </w:pPr>
      <w:r>
        <w:t xml:space="preserve">“A medical purpose does not take into consideration (and may be established regardless of) whether the device outputs are subsequently used as part of a participant’s clinical pathway.”</w:t>
      </w:r>
    </w:p>
    <w:p>
      <w:pPr>
        <w:pStyle w:val="BlockText"/>
      </w:pPr>
      <w:r>
        <w:t xml:space="preserve">“For example, comparator studies, where participant data is input into or measured on the device and the outputs are compared against standard of care … but the outputs are not acted on in any way. In these instances, the device is still considered to have a medical purpose at this decision step.”</w:t>
      </w:r>
    </w:p>
    <w:p>
      <w:pPr>
        <w:pStyle w:val="FirstParagraph"/>
      </w:pPr>
      <w:r>
        <w:t xml:space="preserve">Note 1 excludes studies that do not involve people:</w:t>
      </w:r>
    </w:p>
    <w:p>
      <w:pPr>
        <w:pStyle w:val="BlockText"/>
      </w:pPr>
      <w:r>
        <w:t xml:space="preserve">“Examples of this kind of study include retrospective clinical studies and non-interventional software or AI studies which provide performance data of a medical device using existing data with no safety implications for participants. … software tested using existing patient data, with no patient interaction in the study, and not informing patient management decisions in study.”</w:t>
      </w:r>
    </w:p>
    <w:p>
      <w:pPr>
        <w:pStyle w:val="FirstParagraph"/>
      </w:pPr>
      <w:r>
        <w:t xml:space="preserve">If participants install and use Lazoo, Note 1 does not describe this study.</w:t>
      </w:r>
    </w:p>
    <w:p>
      <w:pPr>
        <w:pStyle w:val="BodyText"/>
      </w:pPr>
      <w:r>
        <w:rPr>
          <w:b/>
          <w:bCs/>
        </w:rPr>
        <w:t xml:space="preserve">Software documents, if a notice is made.</w:t>
      </w:r>
      <w:r>
        <w:t xml:space="preserve"> </w:t>
      </w:r>
      <w:r>
        <w:t xml:space="preserve">The submission guidance, updated on 6 August 2026, asks for evidence about the software wherever the device includes software:</w:t>
      </w:r>
      <w:r>
        <w:t xml:space="preserve"> </w:t>
      </w:r>
      <w:r>
        <w:t xml:space="preserve">“Wherever possible, software should be designed and maintained in accordance with the principles of IEC 62304, and any deviations from this standard should be strongly justified.”</w:t>
      </w:r>
      <w:r>
        <w:t xml:space="preserve"> </w:t>
      </w:r>
      <w:r>
        <w:t xml:space="preserve">The minimum list is a software development plan; a risk management plan and report, including a software hazard analysis; a configuration management plan; the system requirements; a verification plan and report; a process for resolving problems; and evidence that completeness was reviewed before release. For stand-alone software,</w:t>
      </w:r>
      <w:r>
        <w:t xml:space="preserve"> </w:t>
      </w:r>
      <w:r>
        <w:t xml:space="preserve">“the whole system”</w:t>
      </w:r>
      <w:r>
        <w:t xml:space="preserve"> </w:t>
      </w:r>
      <w:r>
        <w:t xml:space="preserve">and the hazards arising from the phone or other hardware must be addressed. This is</w:t>
      </w:r>
      <w:r>
        <w:t xml:space="preserve"> </w:t>
      </w:r>
      <w:r>
        <w:rPr>
          <w:b/>
          <w:bCs/>
        </w:rPr>
        <w:t xml:space="preserve">regulator guidance</w:t>
      </w:r>
      <w:r>
        <w:t xml:space="preserve"> </w:t>
      </w:r>
      <w:r>
        <w:t xml:space="preserve">on the contents of a notice, not a separate statutory regime.</w:t>
      </w:r>
    </w:p>
    <w:bookmarkEnd w:id="34"/>
    <w:bookmarkStart w:id="35" w:name="X19bf0dd3d1b856490e33b549e70c07b7e983283"/>
    <w:p>
      <w:pPr>
        <w:pStyle w:val="Heading3"/>
      </w:pPr>
      <w:r>
        <w:t xml:space="preserve">Performance evaluation is the wrong route</w:t>
      </w:r>
    </w:p>
    <w:p>
      <w:pPr>
        <w:pStyle w:val="FirstParagraph"/>
      </w:pPr>
      <w:r>
        <w:rPr>
          <w:b/>
          <w:bCs/>
        </w:rPr>
        <w:t xml:space="preserve">Legal requirement.</w:t>
      </w:r>
      <w:r>
        <w:t xml:space="preserve"> </w:t>
      </w:r>
      <w:r>
        <w:t xml:space="preserve">Regulation 2 defines a</w:t>
      </w:r>
      <w:r>
        <w:t xml:space="preserve"> </w:t>
      </w:r>
      <w:r>
        <w:t xml:space="preserve">“device for performance evaluation”</w:t>
      </w:r>
      <w:r>
        <w:t xml:space="preserve"> </w:t>
      </w:r>
      <w:r>
        <w:t xml:space="preserve">as a product</w:t>
      </w:r>
      <w:r>
        <w:t xml:space="preserve"> </w:t>
      </w:r>
      <w:r>
        <w:t xml:space="preserve">“intended by its manufacturer to be subject to one or more performance evaluation studies in laboratories for medical analysis or in other appropriate environments outside his own premises.”</w:t>
      </w:r>
      <w:r>
        <w:t xml:space="preserve"> </w:t>
      </w:r>
      <w:r>
        <w:t xml:space="preserve">The list of contents places regulation 43,</w:t>
      </w:r>
      <w:r>
        <w:t xml:space="preserve"> </w:t>
      </w:r>
      <w:r>
        <w:t xml:space="preserve">“Devices for performance evaluation”</w:t>
      </w:r>
      <w:r>
        <w:t xml:space="preserve">, among the provisions on in vitro diagnostic devices, next to regulation 44 on persons placing in vitro diagnostic devices on the market. The wording of regulation 43 that was checked is the original text as made, and the revised Great Britain text was not read in full, so it is</w:t>
      </w:r>
      <w:r>
        <w:t xml:space="preserve"> </w:t>
      </w:r>
      <w:r>
        <w:rPr>
          <w:b/>
          <w:bCs/>
        </w:rPr>
        <w:t xml:space="preserve">not confirmed</w:t>
      </w:r>
      <w:r>
        <w:t xml:space="preserve"> </w:t>
      </w:r>
      <w:r>
        <w:t xml:space="preserve">that every word of regulation 43 is unchanged. The definition read on the revised page for regulation 2 is sufficient for the point.</w:t>
      </w:r>
    </w:p>
    <w:p>
      <w:pPr>
        <w:pStyle w:val="BodyText"/>
      </w:pPr>
      <w:r>
        <w:rPr>
          <w:b/>
          <w:bCs/>
        </w:rPr>
        <w:t xml:space="preserve">Opinion.</w:t>
      </w:r>
      <w:r>
        <w:t xml:space="preserve"> </w:t>
      </w:r>
      <w:r>
        <w:t xml:space="preserve">On the facts given, Lazoo does not examine a specimen in a laboratory, so describing the study as a performance evaluation does not take it outside regulation 16. The flowchart page says that it applies to general medical devices and active implantable devices, and directs manufacturers of in vitro diagnostic devices to different guidance.</w:t>
      </w:r>
    </w:p>
    <w:bookmarkEnd w:id="35"/>
    <w:bookmarkStart w:id="36" w:name="X8ff69bc2a87c9e21b022950185c5a73a738631e"/>
    <w:p>
      <w:pPr>
        <w:pStyle w:val="Heading3"/>
      </w:pPr>
      <w:r>
        <w:t xml:space="preserve">The in-house or health institution exemption does not fit Sleep and Health Clinic App Ltd</w:t>
      </w:r>
    </w:p>
    <w:p>
      <w:pPr>
        <w:pStyle w:val="FirstParagraph"/>
      </w:pPr>
      <w:r>
        <w:rPr>
          <w:b/>
          <w:bCs/>
        </w:rPr>
        <w:t xml:space="preserve">Regulator guidance, and a gap in the statute.</w:t>
      </w:r>
      <w:r>
        <w:t xml:space="preserve"> </w:t>
      </w:r>
      <w:r>
        <w:t xml:space="preserve">MHRA, 20 January 2026:</w:t>
      </w:r>
    </w:p>
    <w:p>
      <w:pPr>
        <w:pStyle w:val="BlockText"/>
      </w:pPr>
      <w:r>
        <w:t xml:space="preserve">“The MDR 2002 do not currently include an exemption for general medical devices (including software or implantable medical devices). However, previous MHRA guidance has permitted the use of the HIE for these devices…”</w:t>
      </w:r>
    </w:p>
    <w:p>
      <w:pPr>
        <w:pStyle w:val="FirstParagraph"/>
      </w:pPr>
      <w:r>
        <w:t xml:space="preserve">The conditions that the MHRA applies are that the device is manufactured and used within the same health institution, or in its immediate vicinity, with no transfer to another legal entity. The MHRA also says that the exemption</w:t>
      </w:r>
      <w:r>
        <w:t xml:space="preserve"> </w:t>
      </w:r>
      <w:r>
        <w:t xml:space="preserve">“does not apply to devices that are taken away by patients for use in their own homes.”</w:t>
      </w:r>
      <w:r>
        <w:t xml:space="preserve"> </w:t>
      </w:r>
      <w:r>
        <w:t xml:space="preserve">A health institution may subcontract manufacture only if it keeps responsibility and control. The guidance on leading practice asks health institutions to tell the MHRA by email when they run a clinical investigation under the exemption, and says that if the institution intends a commercial application, an ordinary notice of clinical investigation is required (https://www.gov.uk/government/publications/health-institution-exemption-for-general-medical-devices/leading-practice-guidelines, accessed on 12 October 2026).</w:t>
      </w:r>
    </w:p>
    <w:p>
      <w:pPr>
        <w:pStyle w:val="BodyText"/>
      </w:pPr>
      <w:r>
        <w:rPr>
          <w:b/>
          <w:bCs/>
        </w:rPr>
        <w:t xml:space="preserve">Opinion.</w:t>
      </w:r>
      <w:r>
        <w:t xml:space="preserve"> </w:t>
      </w:r>
      <w:r>
        <w:t xml:space="preserve">Sleep and Health Clinic App Ltd is the manufacturer, and a paid NHS trust is not manufacturing Lazoo in-house. Use at home on a participant’s phone falls outside the exemption as the MHRA describes it, so the health institution exemption offers no argument for this study.</w:t>
      </w:r>
    </w:p>
    <w:bookmarkEnd w:id="36"/>
    <w:bookmarkStart w:id="37" w:name="X7eac24d9c0c39bc6d365014e90be403909a770f"/>
    <w:p>
      <w:pPr>
        <w:pStyle w:val="Heading3"/>
      </w:pPr>
      <w:r>
        <w:t xml:space="preserve">The 60-day period, and ethics review running alongside it</w:t>
      </w:r>
    </w:p>
    <w:p>
      <w:pPr>
        <w:pStyle w:val="FirstParagraph"/>
      </w:pPr>
      <w:r>
        <w:rPr>
          <w:b/>
          <w:bCs/>
        </w:rPr>
        <w:t xml:space="preserve">Legal requirement.</w:t>
      </w:r>
      <w:r>
        <w:t xml:space="preserve"> </w:t>
      </w:r>
      <w:r>
        <w:t xml:space="preserve">Notice must be given at least 60 days before the device is supplied for the investigation (regulation 16(1)). If, within 60 days of formal acceptance, the Secretary of State gives written notice of objection on grounds of public health or public policy, the device must not be supplied for that investigation (regulation 16(4)). The Secretary of State may instead give written notice that the device may be made available, or that it may be made available once the ethics committee has given a favourable opinion on the investigational plan (regulation 16(5)); that notice can carry conditions and can be withdrawn (regulation 16(6)). The ethics opinion under section 2.2 of Annex VIII need not be included in the initial submission, but must be sent as soon as it exists (regulation 16(3)). The manufacturer must tell the Secretary of State when the investigation ends, and must justify any early stop (regulation 16(11)).</w:t>
      </w:r>
    </w:p>
    <w:p>
      <w:pPr>
        <w:pStyle w:val="BodyText"/>
      </w:pPr>
      <w:r>
        <w:rPr>
          <w:b/>
          <w:bCs/>
        </w:rPr>
        <w:t xml:space="preserve">Regulator guidance.</w:t>
      </w:r>
      <w:r>
        <w:t xml:space="preserve"> </w:t>
      </w:r>
      <w:r>
        <w:t xml:space="preserve">Notify page, updated on 12 August 2026:</w:t>
      </w:r>
    </w:p>
    <w:p>
      <w:pPr>
        <w:pStyle w:val="BlockText"/>
      </w:pPr>
      <w:r>
        <w:t xml:space="preserve">“When we have received your documents and validated them, we will contact to you within 5 working days to confirm that the 60-day assessment period has started, or we will let you know if there are any issues. If we raise any issues, the 60-day assessment period will start when we receive a valid response.”</w:t>
      </w:r>
    </w:p>
    <w:p>
      <w:pPr>
        <w:pStyle w:val="BlockText"/>
      </w:pPr>
      <w:r>
        <w:t xml:space="preserve">“Day 1 of the 60 days is taken as being the first day that follows the date of acceptance of a valid application.”</w:t>
      </w:r>
    </w:p>
    <w:p>
      <w:pPr>
        <w:pStyle w:val="BlockText"/>
      </w:pPr>
      <w:r>
        <w:t xml:space="preserve">“We will send you a letter by the 60th day with a decision (</w:t>
      </w:r>
      <w:r>
        <w:t xml:space="preserve">‘objection’</w:t>
      </w:r>
      <w:r>
        <w:t xml:space="preserve"> </w:t>
      </w:r>
      <w:r>
        <w:t xml:space="preserve">or</w:t>
      </w:r>
      <w:r>
        <w:t xml:space="preserve"> </w:t>
      </w:r>
      <w:r>
        <w:t xml:space="preserve">‘no objection’</w:t>
      </w:r>
      <w:r>
        <w:t xml:space="preserve">)…”</w:t>
      </w:r>
    </w:p>
    <w:p>
      <w:pPr>
        <w:pStyle w:val="FirstParagraph"/>
      </w:pPr>
      <w:r>
        <w:t xml:space="preserve">Guidance for Great Britain, 23 July 2026:</w:t>
      </w:r>
    </w:p>
    <w:p>
      <w:pPr>
        <w:pStyle w:val="BlockText"/>
      </w:pPr>
      <w:r>
        <w:t xml:space="preserve">“If, within 60 days of formal acceptance of the Notice, the MHRA has not given written notice of objection, the clinical investigation may proceed.”</w:t>
      </w:r>
    </w:p>
    <w:p>
      <w:pPr>
        <w:pStyle w:val="FirstParagraph"/>
      </w:pPr>
      <w:r>
        <w:t xml:space="preserve">The same page is stricter about the start date once ethics review is taken into account:</w:t>
      </w:r>
    </w:p>
    <w:p>
      <w:pPr>
        <w:pStyle w:val="BlockText"/>
      </w:pPr>
      <w:r>
        <w:t xml:space="preserve">“No clinical investigation of an unmarked device should be started until both the relevant REC opinion and the MHRA have raised no grounds for objection.”</w:t>
      </w:r>
    </w:p>
    <w:p>
      <w:pPr>
        <w:pStyle w:val="BlockText"/>
      </w:pPr>
      <w:r>
        <w:t xml:space="preserve">“If the MHRA raises no grounds for objection … the investigation may only start once REC approval has been granted and a copy of the REC approval letter is sent by the applicant to the MHRA.”</w:t>
      </w:r>
    </w:p>
    <w:p>
      <w:pPr>
        <w:pStyle w:val="FirstParagraph"/>
      </w:pPr>
      <w:r>
        <w:t xml:space="preserve">Amendments made after a</w:t>
      </w:r>
      <w:r>
        <w:t xml:space="preserve"> </w:t>
      </w:r>
      <w:r>
        <w:t xml:space="preserve">“no objection”</w:t>
      </w:r>
      <w:r>
        <w:t xml:space="preserve"> </w:t>
      </w:r>
      <w:r>
        <w:t xml:space="preserve">letter need a further</w:t>
      </w:r>
      <w:r>
        <w:t xml:space="preserve"> </w:t>
      </w:r>
      <w:r>
        <w:t xml:space="preserve">“no objection”</w:t>
      </w:r>
      <w:r>
        <w:t xml:space="preserve"> </w:t>
      </w:r>
      <w:r>
        <w:t xml:space="preserve">letter before they are implemented, according to the same guidance.</w:t>
      </w:r>
    </w:p>
    <w:p>
      <w:pPr>
        <w:pStyle w:val="BodyText"/>
      </w:pPr>
      <w:r>
        <w:t xml:space="preserve">A fee is charged. The notify page discusses when the fee is paid and the possibility of a waiver, but the amount was</w:t>
      </w:r>
      <w:r>
        <w:t xml:space="preserve"> </w:t>
      </w:r>
      <w:r>
        <w:rPr>
          <w:b/>
          <w:bCs/>
        </w:rPr>
        <w:t xml:space="preserve">not confirmed</w:t>
      </w:r>
      <w:r>
        <w:t xml:space="preserve"> </w:t>
      </w:r>
      <w:r>
        <w:t xml:space="preserve">in the pages read. The submission guidance attributes the fee to regulation 56, whose text was not read again. The fee should therefore be treated as published MHRA practice, and the figure checked on IRAS before budgeting.</w:t>
      </w:r>
    </w:p>
    <w:bookmarkEnd w:id="37"/>
    <w:bookmarkStart w:id="38" w:name="X92c46f37f5aca995c6592e4f3427e5b50e13806"/>
    <w:p>
      <w:pPr>
        <w:pStyle w:val="Heading3"/>
      </w:pPr>
      <w:r>
        <w:t xml:space="preserve">HRA and research ethics committee review, including combined review</w:t>
      </w:r>
    </w:p>
    <w:p>
      <w:pPr>
        <w:pStyle w:val="FirstParagraph"/>
      </w:pPr>
      <w:r>
        <w:rPr>
          <w:b/>
          <w:bCs/>
        </w:rPr>
        <w:t xml:space="preserve">Regulator guidance, linked to regulation 16(3).</w:t>
      </w:r>
      <w:r>
        <w:t xml:space="preserve"> </w:t>
      </w:r>
      <w:r>
        <w:t xml:space="preserve">Guidance for Great Britain, 23 July 2026:</w:t>
      </w:r>
    </w:p>
    <w:p>
      <w:pPr>
        <w:pStyle w:val="BlockText"/>
      </w:pPr>
      <w:r>
        <w:t xml:space="preserve">“For all clinical investigations of devices falling within the scope of the UK MDR and EU MDR, a relevant research ethics committee (REC) opinion is required as set out in UK MDR Regulations 16(3) and 29(2) and EU MDR Article 62.3.”</w:t>
      </w:r>
    </w:p>
    <w:p>
      <w:pPr>
        <w:pStyle w:val="BlockText"/>
      </w:pPr>
      <w:r>
        <w:t xml:space="preserve">“This opinion may be obtained in parallel with the MHRA notification.”</w:t>
      </w:r>
    </w:p>
    <w:p>
      <w:pPr>
        <w:pStyle w:val="BlockText"/>
      </w:pPr>
      <w:r>
        <w:t xml:space="preserve">“The MHRA does not accept approvals from independent ethics committees. Applicants must seek the opinion of a REC within the UK Health Departments’ Research Ethics Service.”</w:t>
      </w:r>
    </w:p>
    <w:p>
      <w:pPr>
        <w:pStyle w:val="FirstParagraph"/>
      </w:pPr>
      <w:r>
        <w:t xml:space="preserve">A single research ethics committee covers every centre in Great Britain, and the HRA strongly recommends a committee flagged for devices. HRA page, 19 March 2025:</w:t>
      </w:r>
    </w:p>
    <w:p>
      <w:pPr>
        <w:pStyle w:val="BlockText"/>
      </w:pPr>
      <w:r>
        <w:t xml:space="preserve">“Under the Medical Devices Regulations, ethical approval is required for a clinical investigation undertaken by, or with the support of, the manufacturer or another commercial company in order to demonstrate the safety and performance of a non-UKCA/CE UKNI/CE-marked medical device, or a UKCA/CE UKNI/CE-marked device that has been modified or is to be used for a new purpose.”</w:t>
      </w:r>
    </w:p>
    <w:p>
      <w:pPr>
        <w:pStyle w:val="BlockText"/>
      </w:pPr>
      <w:r>
        <w:t xml:space="preserve">“Ethical approval for the purposes of the Medical Devices Regulations must be given by a Research Ethics Committee (REC) within the UK Health Departments’ Research Ethics Service (RES).”</w:t>
      </w:r>
    </w:p>
    <w:p>
      <w:pPr>
        <w:pStyle w:val="FirstParagraph"/>
      </w:pPr>
      <w:r>
        <w:rPr>
          <w:b/>
          <w:bCs/>
        </w:rPr>
        <w:t xml:space="preserve">NHS sites.</w:t>
      </w:r>
      <w:r>
        <w:t xml:space="preserve"> </w:t>
      </w:r>
      <w:r>
        <w:t xml:space="preserve">Guidance for Great Britain, 23 July 2026:</w:t>
      </w:r>
    </w:p>
    <w:p>
      <w:pPr>
        <w:pStyle w:val="BlockText"/>
      </w:pPr>
      <w:r>
        <w:t xml:space="preserve">“Each individual site in the clinical investigation must have confirmed management permission.”</w:t>
      </w:r>
    </w:p>
    <w:p>
      <w:pPr>
        <w:pStyle w:val="BlockText"/>
      </w:pPr>
      <w:r>
        <w:t xml:space="preserve">“NHS organisations in England provide this by confirming that they have the capacity and capability to take part in the study.”</w:t>
      </w:r>
    </w:p>
    <w:p>
      <w:pPr>
        <w:pStyle w:val="BlockText"/>
      </w:pPr>
      <w:r>
        <w:t xml:space="preserve">“The clinical investigation must not begin in the UK until you have received the relevant confirmation for that individual site. In addition, clinical investigations must not commence in any NHS site in England until they have also received HRA Approval.”</w:t>
      </w:r>
    </w:p>
    <w:p>
      <w:pPr>
        <w:pStyle w:val="FirstParagraph"/>
      </w:pPr>
      <w:r>
        <w:rPr>
          <w:b/>
          <w:bCs/>
        </w:rPr>
        <w:t xml:space="preserve">Opinion on UCLH.</w:t>
      </w:r>
      <w:r>
        <w:t xml:space="preserve"> </w:t>
      </w:r>
      <w:r>
        <w:t xml:space="preserve">If the trust is a research site, this MHRA guidance requires HRA Approval and confirmation of the site’s capacity and capability before any NHS activity. If the trust is only a paid processor, with no participant attending and no NHS staff delivering the study, that requirement on sites may not be triggered. Which of these the contract will be is</w:t>
      </w:r>
      <w:r>
        <w:t xml:space="preserve"> </w:t>
      </w:r>
      <w:r>
        <w:rPr>
          <w:b/>
          <w:bCs/>
        </w:rPr>
        <w:t xml:space="preserve">not confirmed</w:t>
      </w:r>
      <w:r>
        <w:t xml:space="preserve">. A processor contract is required under the UK GDPR in either case, but it does not replace HRA Approval if the trust is in fact a site.</w:t>
      </w:r>
    </w:p>
    <w:p>
      <w:pPr>
        <w:pStyle w:val="BodyText"/>
      </w:pPr>
      <w:r>
        <w:rPr>
          <w:b/>
          <w:bCs/>
        </w:rPr>
        <w:t xml:space="preserve">Combined review is a different service.</w:t>
      </w:r>
      <w:r>
        <w:t xml:space="preserve"> </w:t>
      </w:r>
      <w:r>
        <w:t xml:space="preserve">The MHRA’s notify page was updated on 6 July 2026 to describe Parallel Review for a study that is both a clinical trial of an investigational medicinal product and a clinical investigation of a device, and the parallel-review guidance of July 2026 is for that combination. Lazoo involves no medicine and no therapy.</w:t>
      </w:r>
      <w:r>
        <w:t xml:space="preserve"> </w:t>
      </w:r>
      <w:r>
        <w:rPr>
          <w:b/>
          <w:bCs/>
        </w:rPr>
        <w:t xml:space="preserve">Opinion:</w:t>
      </w:r>
      <w:r>
        <w:t xml:space="preserve"> </w:t>
      </w:r>
      <w:r>
        <w:t xml:space="preserve">the combined-review or parallel-review route for medicines is not the route for this study. Notice for a device-only study is given through the devices form on IRAS, with the research ethics committee opinion obtained in parallel and then sent to the MHRA. Whether the HRA has since brought device-only studies into the combined-review service for medicines was</w:t>
      </w:r>
      <w:r>
        <w:t xml:space="preserve"> </w:t>
      </w:r>
      <w:r>
        <w:rPr>
          <w:b/>
          <w:bCs/>
        </w:rPr>
        <w:t xml:space="preserve">not confirmed</w:t>
      </w:r>
      <w:r>
        <w:t xml:space="preserve"> </w:t>
      </w:r>
      <w:r>
        <w:t xml:space="preserve">on the HRA’s devices page, which was last updated on 19 March 2025.</w:t>
      </w:r>
    </w:p>
    <w:p>
      <w:pPr>
        <w:pStyle w:val="BodyText"/>
      </w:pPr>
      <w:r>
        <w:t xml:space="preserve">Applications are made through IRAS. If a site in Northern Ireland is added, the whole UK submission has to meet the EU Medical Device Regulation (guidance for Great Britain, 23 July 2026).</w:t>
      </w:r>
    </w:p>
    <w:p>
      <w:pPr>
        <w:pStyle w:val="BodyText"/>
      </w:pPr>
      <w:r>
        <w:t xml:space="preserve">If Sara is unsure, the MHRA asks for an annotated flowchart to be sent to info@mhra.gov.uk with the subject line</w:t>
      </w:r>
      <w:r>
        <w:t xml:space="preserve"> </w:t>
      </w:r>
      <w:r>
        <w:t xml:space="preserve">“[Company Name] – Is a Clinical Investigation required?”</w:t>
      </w:r>
      <w:r>
        <w:t xml:space="preserve">, covering the manufacturer, who runs the study, the purpose of the device, the purpose of the study, whether a medical application is foreseen, and the protocol if available (flowchart guidance, note under</w:t>
      </w:r>
      <w:r>
        <w:t xml:space="preserve"> </w:t>
      </w:r>
      <w:r>
        <w:t xml:space="preserve">“Further information”</w:t>
      </w:r>
      <w:r>
        <w:t xml:space="preserve">, 23 July 2026). That email is the way for Sara to ask the MHRA to confirm or reject the inference above; it is not a decision already made in these notes.</w:t>
      </w:r>
    </w:p>
    <w:bookmarkEnd w:id="38"/>
    <w:bookmarkStart w:id="39" w:name="X5c2230a875761d34210c960c8f320d63f7ad497"/>
    <w:p>
      <w:pPr>
        <w:pStyle w:val="Heading3"/>
      </w:pPr>
      <w:r>
        <w:t xml:space="preserve">Draft regulations of 2026: subject to Parliament</w:t>
      </w:r>
    </w:p>
    <w:p>
      <w:pPr>
        <w:pStyle w:val="FirstParagraph"/>
      </w:pPr>
      <w:r>
        <w:rPr>
          <w:b/>
          <w:bCs/>
        </w:rPr>
        <w:t xml:space="preserve">The government still describes these regulations as draft, and no commencement has been made.</w:t>
      </w:r>
      <w:r>
        <w:t xml:space="preserve"> </w:t>
      </w:r>
      <w:r>
        <w:t xml:space="preserve">Three official pages were read, all on</w:t>
      </w:r>
      <w:r>
        <w:t xml:space="preserve"> </w:t>
      </w:r>
      <w:r>
        <w:rPr>
          <w:b/>
          <w:bCs/>
        </w:rPr>
        <w:t xml:space="preserve">12 October 2026</w:t>
      </w:r>
      <w:r>
        <w:t xml:space="preserve">.</w:t>
      </w:r>
    </w:p>
    <w:p>
      <w:pPr>
        <w:pStyle w:val="BodyText"/>
      </w:pPr>
      <w:r>
        <w:t xml:space="preserve">MHRA news, published on</w:t>
      </w:r>
      <w:r>
        <w:t xml:space="preserve"> </w:t>
      </w:r>
      <w:r>
        <w:rPr>
          <w:b/>
          <w:bCs/>
        </w:rPr>
        <w:t xml:space="preserve">11 May 2026</w:t>
      </w:r>
      <w:r>
        <w:t xml:space="preserve">, https://www.gov.uk/government/news/mhra-invites-views-on-proposed-changes-to-medical-device-regulation:</w:t>
      </w:r>
    </w:p>
    <w:p>
      <w:pPr>
        <w:pStyle w:val="BlockText"/>
      </w:pPr>
      <w:r>
        <w:t xml:space="preserve">“New pre-market regulatory requirements for medical devices and in vitro diagnostic devices entering the GB market have been published by the Medicines and Healthcare products Regulatory Agency (MHRA) on the World Trade Organisation notification portal on Friday 8th May 2026.”</w:t>
      </w:r>
    </w:p>
    <w:p>
      <w:pPr>
        <w:pStyle w:val="BlockText"/>
      </w:pPr>
      <w:r>
        <w:t xml:space="preserve">“The notification provides an opportunity for WTO members to comment on the draft pre-market regulatory requirements, titled the draft Medical Devices (Amendment) Regulations 2026.”</w:t>
      </w:r>
    </w:p>
    <w:p>
      <w:pPr>
        <w:pStyle w:val="FirstParagraph"/>
      </w:pPr>
      <w:r>
        <w:t xml:space="preserve">The call for evidence, published on</w:t>
      </w:r>
      <w:r>
        <w:t xml:space="preserve"> </w:t>
      </w:r>
      <w:r>
        <w:rPr>
          <w:b/>
          <w:bCs/>
        </w:rPr>
        <w:t xml:space="preserve">11 May 2026</w:t>
      </w:r>
      <w:r>
        <w:t xml:space="preserve">, ran from 9am on 11 May 2026 to 11:59pm on 19 June 2026, and still refers to the text as</w:t>
      </w:r>
      <w:r>
        <w:t xml:space="preserve"> </w:t>
      </w:r>
      <w:r>
        <w:t xml:space="preserve">“the draft Medical Devices (Amendment) Regulations 2026”</w:t>
      </w:r>
      <w:r>
        <w:t xml:space="preserve">: https://www.gov.uk/government/calls-for-evidence/pre-market-medical-devices-regulation-stakeholder-impact-survey.</w:t>
      </w:r>
    </w:p>
    <w:p>
      <w:pPr>
        <w:pStyle w:val="BodyText"/>
      </w:pPr>
      <w:r>
        <w:t xml:space="preserve">The GOV.UK page</w:t>
      </w:r>
      <w:r>
        <w:t xml:space="preserve"> </w:t>
      </w:r>
      <w:r>
        <w:t xml:space="preserve">“COVID-19 test approval: how to apply”</w:t>
      </w:r>
      <w:r>
        <w:t xml:space="preserve">,</w:t>
      </w:r>
      <w:r>
        <w:t xml:space="preserve"> </w:t>
      </w:r>
      <w:r>
        <w:rPr>
          <w:b/>
          <w:bCs/>
        </w:rPr>
        <w:t xml:space="preserve">last updated on 28 September 2026</w:t>
      </w:r>
      <w:r>
        <w:t xml:space="preserve">, https://www.gov.uk/guidance/covid-19-test-approval-how-to-apply, gives the later official statement of status:</w:t>
      </w:r>
    </w:p>
    <w:p>
      <w:pPr>
        <w:pStyle w:val="BlockText"/>
      </w:pPr>
      <w:r>
        <w:t xml:space="preserve">“Under the draft Medical Devices (Amendment) Regulations 2026 Statutory Instrument (SI), coronavirus test devices with a valid CTDA certificate will have until the earlier of either five years from the date the SI comes into force, or the expiry date of their CTDA certificate, to comply with the new Common Specification requirements. The SI is expected to come into force in mid-2027.”</w:t>
      </w:r>
    </w:p>
    <w:p>
      <w:pPr>
        <w:pStyle w:val="FirstParagraph"/>
      </w:pPr>
      <w:r>
        <w:t xml:space="preserve">“Expected”</w:t>
      </w:r>
      <w:r>
        <w:t xml:space="preserve"> </w:t>
      </w:r>
      <w:r>
        <w:t xml:space="preserve">is the MHRA’s word on that page. It is neither a commencement date nor a statement that Parliament has approved the instrument.</w:t>
      </w:r>
    </w:p>
    <w:p>
      <w:pPr>
        <w:pStyle w:val="BodyText"/>
      </w:pPr>
      <w:r>
        <w:t xml:space="preserve">A title search on legislation.gov.uk,</w:t>
      </w:r>
      <w:r>
        <w:t xml:space="preserve"> </w:t>
      </w:r>
      <w:r>
        <w:rPr>
          <w:b/>
          <w:bCs/>
        </w:rPr>
        <w:t xml:space="preserve">read on 12 October 2026</w:t>
      </w:r>
      <w:r>
        <w:t xml:space="preserve"> </w:t>
      </w:r>
      <w:r>
        <w:t xml:space="preserve">(https://www.legislation.gov.uk/uksi?title=Medical%20Devices%20(Amendment)%20Regulations%202026), returned one result:</w:t>
      </w:r>
      <w:r>
        <w:t xml:space="preserve"> </w:t>
      </w:r>
      <w:r>
        <w:rPr>
          <w:b/>
          <w:bCs/>
        </w:rPr>
        <w:t xml:space="preserve">The Medical Devices (Fees Amendment) Regulations 2026</w:t>
      </w:r>
      <w:r>
        <w:t xml:space="preserve">, 2026 No. 197, https://www.legislation.gov.uk/uksi/2026/197/made, in force from</w:t>
      </w:r>
      <w:r>
        <w:t xml:space="preserve"> </w:t>
      </w:r>
      <w:r>
        <w:rPr>
          <w:b/>
          <w:bCs/>
        </w:rPr>
        <w:t xml:space="preserve">1 April 2026</w:t>
      </w:r>
      <w:r>
        <w:t xml:space="preserve">. That instrument changes fees and is not the pre-market draft. No instrument made with the title</w:t>
      </w:r>
      <w:r>
        <w:t xml:space="preserve"> </w:t>
      </w:r>
      <w:r>
        <w:t xml:space="preserve">“Medical Devices (Amendment) Regulations 2026”</w:t>
      </w:r>
      <w:r>
        <w:t xml:space="preserve"> </w:t>
      </w:r>
      <w:r>
        <w:t xml:space="preserve">appeared in the search result.</w:t>
      </w:r>
    </w:p>
    <w:p>
      <w:pPr>
        <w:pStyle w:val="BodyText"/>
      </w:pPr>
      <w:r>
        <w:t xml:space="preserve">The news release of 11 May 2026 describes international reliance (on Australia, Canada and the United States), implant cards, unique device identifiers, classification of in vitro diagnostic devices aligned with the International Medical Device Regulators Forum, essential requirements, longer retention of technical documentation, custom-made devices, and a duty to align claims with the statement of intended purpose. It does</w:t>
      </w:r>
      <w:r>
        <w:t xml:space="preserve"> </w:t>
      </w:r>
      <w:r>
        <w:rPr>
          <w:b/>
          <w:bCs/>
        </w:rPr>
        <w:t xml:space="preserve">not</w:t>
      </w:r>
      <w:r>
        <w:t xml:space="preserve"> </w:t>
      </w:r>
      <w:r>
        <w:t xml:space="preserve">say that the draft changes regulation 16 or 29.</w:t>
      </w:r>
      <w:r>
        <w:t xml:space="preserve"> </w:t>
      </w:r>
      <w:r>
        <w:rPr>
          <w:b/>
          <w:bCs/>
        </w:rPr>
        <w:t xml:space="preserve">The draft remains subject to Parliament.</w:t>
      </w:r>
      <w:r>
        <w:t xml:space="preserve"> </w:t>
      </w:r>
      <w:r>
        <w:t xml:space="preserve">Commencement dates given in law-firm commentary were not used. Mid-2027 is the expectation stated on the GOV.UK page of 28 September 2026, not law.</w:t>
      </w:r>
    </w:p>
    <w:p>
      <w:pPr>
        <w:pStyle w:val="BodyText"/>
      </w:pPr>
      <w:r>
        <w:rPr>
          <w:b/>
          <w:bCs/>
        </w:rPr>
        <w:t xml:space="preserve">For Sara to decide.</w:t>
      </w:r>
      <w:r>
        <w:t xml:space="preserve"> </w:t>
      </w:r>
      <w:r>
        <w:t xml:space="preserve">One approach consistent with these pages is to draft the protocol against regulation 16 and the guidance cited above, and to record that the draft regulations of 2026 are not the approval route for this study. Whether to include that sentence is Sara’s decision.</w:t>
      </w:r>
    </w:p>
    <w:p>
      <w:r>
        <w:pict>
          <v:rect style="width:0;height:1.5pt" o:hralign="center" o:hrstd="t" o:hr="t"/>
        </w:pict>
      </w:r>
    </w:p>
    <w:bookmarkEnd w:id="39"/>
    <w:bookmarkEnd w:id="40"/>
    <w:bookmarkStart w:id="43" w:name="if-diagnosis"/>
    <w:p>
      <w:pPr>
        <w:pStyle w:val="Heading2"/>
      </w:pPr>
      <w:r>
        <w:t xml:space="preserve">If diagnosis</w:t>
      </w:r>
    </w:p>
    <w:p>
      <w:pPr>
        <w:pStyle w:val="FirstParagraph"/>
      </w:pPr>
      <w:r>
        <w:rPr>
          <w:b/>
          <w:bCs/>
        </w:rPr>
        <w:t xml:space="preserve">Not adopted. Kept for reference.</w:t>
      </w:r>
      <w:r>
        <w:t xml:space="preserve"> </w:t>
      </w:r>
      <w:r>
        <w:t xml:space="preserve">On 13 October 2026 the sponsor decided that the intended purpose is insomnia monitoring only, so this block does not apply to the study as designed. The decisions for sections 3 and 16 of the protocol rest with Sara as sponsor. The paragraphs below are draft wording that she may accept, edit or reject, and they are not a decision in these notes. The point that 60 days’ notice is likely to be needed is the</w:t>
      </w:r>
      <w:r>
        <w:t xml:space="preserve"> </w:t>
      </w:r>
      <w:r>
        <w:rPr>
          <w:b/>
          <w:bCs/>
        </w:rPr>
        <w:t xml:space="preserve">INFERENCE</w:t>
      </w:r>
      <w:r>
        <w:t xml:space="preserve"> </w:t>
      </w:r>
      <w:r>
        <w:t xml:space="preserve">set out above, which cites regulation 2 and the MHRA’s August 2025 flow chart for Great Britain (read on 12 October 2026 as its November 2025 successor, because the August address redirects).</w:t>
      </w:r>
    </w:p>
    <w:bookmarkStart w:id="41" w:name="X82d2a146f5cd5ccd2dda0a5ea8603e5f896eba0"/>
    <w:p>
      <w:pPr>
        <w:pStyle w:val="Heading3"/>
      </w:pPr>
      <w:r>
        <w:t xml:space="preserve">Draft for protocol section 3 — Sara decides</w:t>
      </w:r>
    </w:p>
    <w:p>
      <w:pPr>
        <w:pStyle w:val="FirstParagraph"/>
      </w:pPr>
      <w:r>
        <w:t xml:space="preserve">This study would evaluate the diagnostic performance of Lazoo, smartphone software made by Sleep and Health Clinic App Ltd for insomnia. Lazoo is not UKCA-marked. Participants would be healthy volunteers and volunteers with insomnia, recruited on Prolific. They are not NHS patients. Lazoo’s intended purpose includes use in pregnancy (sponsor decision, 13 October 2026). Pregnancy is excluded from this validation study because it will be covered in its own separate study. The software would be used by the participant. Its output would be compared with the reference standard stated in this protocol. The study would not treat insomnia and would not ask the participant to change their care because of the output.</w:t>
      </w:r>
    </w:p>
    <w:p>
      <w:pPr>
        <w:pStyle w:val="BodyText"/>
      </w:pPr>
      <w:r>
        <w:t xml:space="preserve">Whether that design is a clinical investigation, and whether 60 days’ notice is given, is for Sara to decide. One reading, labelled INFERENCE in the study notes, is that people using an unmarked device for a diagnostic purpose fall inside MHRA’s clinical-investigation flowchart, including where the output is not used to change care. On the facts above, the study would not be a retrospective test on existing records, and it would not be an in vitro diagnostic performance evaluation.</w:t>
      </w:r>
    </w:p>
    <w:bookmarkEnd w:id="41"/>
    <w:bookmarkStart w:id="42" w:name="X3a510a9997e5eb487c07c1ef722c261e7db3688"/>
    <w:p>
      <w:pPr>
        <w:pStyle w:val="Heading3"/>
      </w:pPr>
      <w:r>
        <w:t xml:space="preserve">Draft for protocol section 16 — Sara decides</w:t>
      </w:r>
    </w:p>
    <w:p>
      <w:pPr>
        <w:pStyle w:val="FirstParagraph"/>
      </w:pPr>
      <w:r>
        <w:rPr>
          <w:b/>
          <w:bCs/>
        </w:rPr>
        <w:t xml:space="preserve">MHRA — INFERENCE, for Sara to accept or reject.</w:t>
      </w:r>
      <w:r>
        <w:t xml:space="preserve"> </w:t>
      </w:r>
      <w:r>
        <w:t xml:space="preserve">The inference is that notice under regulation 16 is likely to be needed before supply, and that the notice period is at least 60 days. If Sara accepts that inference, the protocol can record that Sleep and Health Clinic App Ltd will not supply Lazoo to participants until notice has been given and the MHRA has not objected, and until a Research Ethics Committee in the UK Health Departments’ Research Ethics Service has given a favourable opinion. Regulation 29 is the active-implantable procedure, so it is not the procedure this draft would cite. If Sara accepts the inference, the draft can also record that the notice is made on IRAS at least 60 days before the software is made available, and that the study does not start until the MHRA letter is</w:t>
      </w:r>
      <w:r>
        <w:t xml:space="preserve"> </w:t>
      </w:r>
      <w:r>
        <w:t xml:space="preserve">“no objection”</w:t>
      </w:r>
      <w:r>
        <w:t xml:space="preserve">, the research ethics committee opinion is in, a copy of that opinion has been sent to the MHRA, and any NHS site has HRA approval and confirmed capacity. Regulation 16(2) excuses notice for a device that already bears a lawful UK mark and is used inside that marked purpose. Lazoo is treated in these notes as not UKCA-marked, so that exception is not the one this draft would use.</w:t>
      </w:r>
    </w:p>
    <w:p>
      <w:pPr>
        <w:pStyle w:val="BodyText"/>
      </w:pPr>
      <w:r>
        <w:t xml:space="preserve">If a notice is made, MHRA’s submission guidance (updated 6 August 2026) asks for a software file, including an IEC 62304 justification and the phone-level hazards. Great Britain guidance (23 July 2026) describes how a device for clinical investigation is identified to participants. Whether to follow those pages is part of Sara’s decision to notify.</w:t>
      </w:r>
    </w:p>
    <w:p>
      <w:pPr>
        <w:pStyle w:val="BodyText"/>
      </w:pPr>
      <w:r>
        <w:rPr>
          <w:b/>
          <w:bCs/>
        </w:rPr>
        <w:t xml:space="preserve">Why the inference treats the study as likely to need notice.</w:t>
      </w:r>
      <w:r>
        <w:t xml:space="preserve"> </w:t>
      </w:r>
      <w:r>
        <w:t xml:space="preserve">Regulation 16(1) prohibits supply of a relevant device, where that supply is also making it available, for a clinical investigation in Great Britain, unless 60 days’ prior notice has been given. Regulation 2 defines a medical device to include software intended for diagnosis of disease, and takes intended purpose from the manufacturer’s labelling, instructions for use, and promotional materials (date read 12 October 2026). MHRA Note 3 (23 July 2026), which explains the flow chart first published in August 2025, says a diagnostic comparison remains a medical purpose even if nobody acts on the result. MHRA’s digital mental health guidance (version 1.3, 29 July 2026) treats software aimed at insomnia disorder as having a medical purpose. Sleep and Health Clinic App Ltd’s stated purpose for this study is diagnosis. MHRA’s view, on the same flowchart page (Note 6), is that data from a study that was not notified cannot be used as clinical safety or performance evidence for conformity assessment. That view is regulator guidance. It is not the statute, and it is not a decision by Sara.</w:t>
      </w:r>
    </w:p>
    <w:p>
      <w:pPr>
        <w:pStyle w:val="BodyText"/>
      </w:pPr>
      <w:r>
        <w:rPr>
          <w:b/>
          <w:bCs/>
        </w:rPr>
        <w:t xml:space="preserve">Arguments Sara can put to MHRA. None of them is adopted here.</w:t>
      </w:r>
    </w:p>
    <w:p>
      <w:pPr>
        <w:pStyle w:val="Compact"/>
        <w:numPr>
          <w:ilvl w:val="0"/>
          <w:numId w:val="1002"/>
        </w:numPr>
      </w:pPr>
      <w:r>
        <w:rPr>
          <w:i/>
          <w:iCs/>
        </w:rPr>
        <w:t xml:space="preserve">No clinician and no clinic.</w:t>
      </w:r>
      <w:r>
        <w:t xml:space="preserve"> </w:t>
      </w:r>
      <w:r>
        <w:t xml:space="preserve">Regulation 2 defines</w:t>
      </w:r>
      <w:r>
        <w:t xml:space="preserve"> </w:t>
      </w:r>
      <w:r>
        <w:t xml:space="preserve">“intended for clinical investigation”</w:t>
      </w:r>
      <w:r>
        <w:t xml:space="preserve"> </w:t>
      </w:r>
      <w:r>
        <w:t xml:space="preserve">as use by a registered medical practitioner, or by another person professionally authorised to investigate the device, in an adequate human clinical environment. MHRA’s 23 July 2026 guidance also speaks of the device being</w:t>
      </w:r>
      <w:r>
        <w:t xml:space="preserve"> </w:t>
      </w:r>
      <w:r>
        <w:t xml:space="preserve">“made available to a medical practitioner”</w:t>
      </w:r>
      <w:r>
        <w:t xml:space="preserve">. This study, as described, has neither a practitioner nor a clinical environment. That reading is a real argument. It is</w:t>
      </w:r>
      <w:r>
        <w:t xml:space="preserve"> </w:t>
      </w:r>
      <w:r>
        <w:rPr>
          <w:b/>
          <w:bCs/>
        </w:rPr>
        <w:t xml:space="preserve">not confirmed</w:t>
      </w:r>
      <w:r>
        <w:t xml:space="preserve"> </w:t>
      </w:r>
      <w:r>
        <w:t xml:space="preserve">as an exemption from regulation 16. Sara can put both texts to MHRA with the annotated flowchart before she treats the argument as decisive.</w:t>
      </w:r>
    </w:p>
    <w:p>
      <w:pPr>
        <w:pStyle w:val="Compact"/>
        <w:numPr>
          <w:ilvl w:val="0"/>
          <w:numId w:val="1002"/>
        </w:numPr>
      </w:pPr>
      <w:r>
        <w:rPr>
          <w:i/>
          <w:iCs/>
        </w:rPr>
        <w:t xml:space="preserve">Output not used for care.</w:t>
      </w:r>
      <w:r>
        <w:t xml:space="preserve"> </w:t>
      </w:r>
      <w:r>
        <w:t xml:space="preserve">MHRA Note 3 (23 July 2026) says this does not remove the medical purpose. Sara can still ask MHRA.</w:t>
      </w:r>
    </w:p>
    <w:p>
      <w:pPr>
        <w:pStyle w:val="Compact"/>
        <w:numPr>
          <w:ilvl w:val="0"/>
          <w:numId w:val="1002"/>
        </w:numPr>
      </w:pPr>
      <w:r>
        <w:rPr>
          <w:i/>
          <w:iCs/>
        </w:rPr>
        <w:t xml:space="preserve">Performance evaluation.</w:t>
      </w:r>
      <w:r>
        <w:t xml:space="preserve"> </w:t>
      </w:r>
      <w:r>
        <w:t xml:space="preserve">That regime is for in vitro diagnostics (regulation 2 definition, and regulation 43 in the IVD part). Lazoo is not presented as an IVD.</w:t>
      </w:r>
    </w:p>
    <w:p>
      <w:pPr>
        <w:pStyle w:val="Compact"/>
        <w:numPr>
          <w:ilvl w:val="0"/>
          <w:numId w:val="1002"/>
        </w:numPr>
      </w:pPr>
      <w:r>
        <w:rPr>
          <w:i/>
          <w:iCs/>
        </w:rPr>
        <w:t xml:space="preserve">In-house exemption.</w:t>
      </w:r>
      <w:r>
        <w:t xml:space="preserve"> </w:t>
      </w:r>
      <w:r>
        <w:t xml:space="preserve">The UK MDR does not currently contain a statutory health-institution exemption for software. MHRA applies one by guidance only where a health institution manufactures and uses the device itself, and not for home use. Sleep and Health Clinic App Ltd is the manufacturer.</w:t>
      </w:r>
    </w:p>
    <w:p>
      <w:pPr>
        <w:pStyle w:val="Compact"/>
        <w:numPr>
          <w:ilvl w:val="0"/>
          <w:numId w:val="1002"/>
        </w:numPr>
      </w:pPr>
      <w:r>
        <w:rPr>
          <w:i/>
          <w:iCs/>
        </w:rPr>
        <w:t xml:space="preserve">Already marked.</w:t>
      </w:r>
      <w:r>
        <w:t xml:space="preserve"> </w:t>
      </w:r>
      <w:r>
        <w:t xml:space="preserve">Regulation 16(2) would excuse notice only if Lazoo already carried a lawful UK mark and the study stayed inside that purpose.</w:t>
      </w:r>
    </w:p>
    <w:p>
      <w:pPr>
        <w:pStyle w:val="FirstParagraph"/>
      </w:pPr>
      <w:r>
        <w:rPr>
          <w:b/>
          <w:bCs/>
        </w:rPr>
        <w:t xml:space="preserve">Ethics and the NHS.</w:t>
      </w:r>
      <w:r>
        <w:t xml:space="preserve"> </w:t>
      </w:r>
      <w:r>
        <w:t xml:space="preserve">If Sara decides the study is a clinical investigation, MHRA’s guidance is that the research ethics committee is a Research Ethics Service committee, and that MHRA does not accept an independent ethics committee. A flagged devices research ethics committee is what HRA recommends. The REC opinion may run in parallel with the notice. The medicines combined-review route is a different product, because there is no investigational medicine. If an NHS trust is a site, MHRA’s guidance is that the study does not start there until HRA approval and site capacity are confirmed. Whether any trust is a site is</w:t>
      </w:r>
      <w:r>
        <w:t xml:space="preserve"> </w:t>
      </w:r>
      <w:r>
        <w:rPr>
          <w:b/>
          <w:bCs/>
        </w:rPr>
        <w:t xml:space="preserve">not confirmed</w:t>
      </w:r>
      <w:r>
        <w:t xml:space="preserve">.</w:t>
      </w:r>
    </w:p>
    <w:p>
      <w:pPr>
        <w:pStyle w:val="BodyText"/>
      </w:pPr>
      <w:r>
        <w:rPr>
          <w:b/>
          <w:bCs/>
        </w:rPr>
        <w:t xml:space="preserve">Prolific.</w:t>
      </w:r>
      <w:r>
        <w:t xml:space="preserve"> </w:t>
      </w:r>
      <w:r>
        <w:t xml:space="preserve">Draft only. Recruitment, payment, and messaging on Prolific. Questions that collect special category data, and the Lazoo task, would sit outside Prolific if Sara follows the Survey Builder terms. Participants would be 18 or over. No names or other direct identifiers. No clinic visits and no posted devices: that is the unsuitable-studies page of 5 August 2026. Pregnancy status, if collected, is special category data and would be asked in the external consent. Sleep and Health Clinic Sleep and Health Clinic App Ltd would be controller of the study dataset. Prolific being the controller of account data does not settle Sleep and Health Clinic App Ltd’s lawful basis, which stays</w:t>
      </w:r>
      <w:r>
        <w:t xml:space="preserve"> </w:t>
      </w:r>
      <w:r>
        <w:rPr>
          <w:b/>
          <w:bCs/>
        </w:rPr>
        <w:t xml:space="preserve">legitimate interests (proposed), to be confirmed by the Data Protection Officer</w:t>
      </w:r>
      <w:r>
        <w:t xml:space="preserve">.</w:t>
      </w:r>
    </w:p>
    <w:p>
      <w:pPr>
        <w:pStyle w:val="BodyText"/>
      </w:pPr>
      <w:r>
        <w:rPr>
          <w:b/>
          <w:bCs/>
        </w:rPr>
        <w:t xml:space="preserve">Draft 2026 regulations.</w:t>
      </w:r>
      <w:r>
        <w:t xml:space="preserve"> </w:t>
      </w:r>
      <w:r>
        <w:t xml:space="preserve">The draft Medical Devices (Amendment) Regulations 2026 were still called draft on GOV.UK on 28 September 2026, and legislation.gov.uk did not show them as made law on 12 October 2026. They are subject to Parliament. They are not, on those pages, a route that replaces regulation 16. Whether the protocol says that is Sara’s call.</w:t>
      </w:r>
    </w:p>
    <w:p>
      <w:r>
        <w:pict>
          <v:rect style="width:0;height:1.5pt" o:hralign="center" o:hrstd="t" o:hr="t"/>
        </w:pict>
      </w:r>
    </w:p>
    <w:bookmarkEnd w:id="42"/>
    <w:bookmarkEnd w:id="43"/>
    <w:bookmarkStart w:id="46" w:name="if-monitoring-only"/>
    <w:p>
      <w:pPr>
        <w:pStyle w:val="Heading2"/>
      </w:pPr>
      <w:r>
        <w:t xml:space="preserve">If monitoring only</w:t>
      </w:r>
    </w:p>
    <w:p>
      <w:pPr>
        <w:pStyle w:val="FirstParagraph"/>
      </w:pPr>
      <w:r>
        <w:rPr>
          <w:b/>
          <w:bCs/>
        </w:rPr>
        <w:t xml:space="preserve">Applies. INFERENCE.</w:t>
      </w:r>
      <w:r>
        <w:t xml:space="preserve"> </w:t>
      </w:r>
      <w:r>
        <w:t xml:space="preserve">Sara set the purpose as insomnia monitoring only on 13 October 2026, so this block applies. The point that 60 days’ notice is still likely to be needed remains an inference for Sara to accept or reject. It uses the same two sources as the diagnosis inference: UK MDR 2002 regulation 2 (medical device, including monitoring of disease, and intended purpose), https://www.legislation.gov.uk/uksi/2002/618/regulation/2, date read 12 October 2026; and MHRA’s August 2025 GB clinical-investigation flow chart, https://assets.publishing.service.gov.uk/media/68a87c553a052c9c504c8db0/GB_Flow_Chart_Accompanying_Guidance_v2.pdf, asset date 22 August 2025, which on 12 October 2026 redirected to the November 2025 version 3 guidance and chart cited above. Sara accepts, edits, or rejects the draft. This note does not.</w:t>
      </w:r>
    </w:p>
    <w:bookmarkStart w:id="44" w:name="X2bbd66f78e95981d421ade780ad5269925bc155"/>
    <w:p>
      <w:pPr>
        <w:pStyle w:val="Heading3"/>
      </w:pPr>
      <w:r>
        <w:t xml:space="preserve">Draft for protocol section 3 — Sara decides</w:t>
      </w:r>
    </w:p>
    <w:p>
      <w:pPr>
        <w:pStyle w:val="FirstParagraph"/>
      </w:pPr>
      <w:r>
        <w:t xml:space="preserve">This study would evaluate Lazoo only as software for monitoring insomnia. It would not evaluate a diagnostic claim, and it would not treat insomnia. Lazoo is not UKCA-marked. Participants would be healthy volunteers and volunteers with insomnia, recruited on Prolific. They are not NHS patients. Lazoo’s intended purpose includes use in pregnancy (sponsor decision, 13 October 2026). Pregnancy is excluded from this validation study because it will be covered in its own separate study. Participants would use the software themselves. Outputs would not be used to change their care.</w:t>
      </w:r>
    </w:p>
    <w:p>
      <w:pPr>
        <w:pStyle w:val="BodyText"/>
      </w:pPr>
      <w:r>
        <w:t xml:space="preserve">Whether that is still a clinical investigation is for Sara to decide. The inference in these notes is that monitoring of insomnia, where the manufacturer’s purpose is monitoring a disease, is still a medical purpose under regulation 2, and that a monitoring-only title does not by itself take the study outside the clinical-investigation rules.</w:t>
      </w:r>
    </w:p>
    <w:bookmarkEnd w:id="44"/>
    <w:bookmarkStart w:id="45" w:name="X1ac7f455efdfbd976586a6f2f743aa0d528b04e"/>
    <w:p>
      <w:pPr>
        <w:pStyle w:val="Heading3"/>
      </w:pPr>
      <w:r>
        <w:t xml:space="preserve">Draft for protocol section 16 — Sara decides</w:t>
      </w:r>
    </w:p>
    <w:p>
      <w:pPr>
        <w:pStyle w:val="FirstParagraph"/>
      </w:pPr>
      <w:r>
        <w:rPr>
          <w:b/>
          <w:bCs/>
        </w:rPr>
        <w:t xml:space="preserve">MHRA — INFERENCE, for Sara to accept or reject.</w:t>
      </w:r>
      <w:r>
        <w:t xml:space="preserve"> </w:t>
      </w:r>
      <w:r>
        <w:t xml:space="preserve">The inference is that notice under regulation 16 is still likely to be needed, for the same reason as a diagnostic study: an unmarked device would be used by people to assess performance for a disease-monitoring purpose, and regulation 2 lists monitoring of disease as a medical-device purpose. Regulation 29 would not be the procedure this draft would cite. If Sara accepts the inference, the 60-day notice, the Research Ethics Service opinion, the</w:t>
      </w:r>
      <w:r>
        <w:t xml:space="preserve"> </w:t>
      </w:r>
      <w:r>
        <w:t xml:space="preserve">“no objection”</w:t>
      </w:r>
      <w:r>
        <w:t xml:space="preserve"> </w:t>
      </w:r>
      <w:r>
        <w:t xml:space="preserve">letter, and any NHS HRA and capacity confirmations are the same steps as in the diagnosis draft. Regulation 16(2) is the marked-device exception. It is not the exception this draft would use, because the device is not described as UKCA-marked for monitoring.</w:t>
      </w:r>
    </w:p>
    <w:p>
      <w:pPr>
        <w:pStyle w:val="BodyText"/>
      </w:pPr>
      <w:r>
        <w:t xml:space="preserve">The regulation 2 definition, read on 12 October 2026, includes software intended for monitoring of disease. MHRA’s flowchart notes (23 July 2026), explaining the chart first published in August 2025, still describe an unmarked device used for a medical purpose as notifiable, including where the output is not acted on. MHRA’s view on that page (Note 6) is that data from an un-notified study will not be usable as clinical performance evidence for a later UKCA mark. If Sara wants the study to support a Class IIa monitoring claim, that is the reason the inference points at notice. It remains her decision.</w:t>
      </w:r>
    </w:p>
    <w:p>
      <w:pPr>
        <w:pStyle w:val="BodyText"/>
      </w:pPr>
      <w:r>
        <w:rPr>
          <w:b/>
          <w:bCs/>
        </w:rPr>
        <w:t xml:space="preserve">Arguments that would be available only if Sara changes the purpose. None is adopted here.</w:t>
      </w:r>
    </w:p>
    <w:p>
      <w:pPr>
        <w:pStyle w:val="Compact"/>
        <w:numPr>
          <w:ilvl w:val="0"/>
          <w:numId w:val="1003"/>
        </w:numPr>
      </w:pPr>
      <w:r>
        <w:rPr>
          <w:i/>
          <w:iCs/>
        </w:rPr>
        <w:t xml:space="preserve">Wellbeing, not insomnia disorder.</w:t>
      </w:r>
      <w:r>
        <w:t xml:space="preserve"> </w:t>
      </w:r>
      <w:r>
        <w:t xml:space="preserve">MHRA’s digital mental health guidance (version 1.3, 29 July 2026), Example 1, says a product that supports poor sleep only at sub-clinical, wellbeing level does not have a medical purpose. Example 2 says a product that covers insomnia disorder does. A protocol that still describes clinical insomnia monitoring follows Example 2, not Example 1. Dropping the word</w:t>
      </w:r>
      <w:r>
        <w:t xml:space="preserve"> </w:t>
      </w:r>
      <w:r>
        <w:t xml:space="preserve">“diagnosis”</w:t>
      </w:r>
      <w:r>
        <w:t xml:space="preserve"> </w:t>
      </w:r>
      <w:r>
        <w:t xml:space="preserve">while keeping a disease-monitoring claim does not, on those examples, reach Example 1.</w:t>
      </w:r>
    </w:p>
    <w:p>
      <w:pPr>
        <w:pStyle w:val="Compact"/>
        <w:numPr>
          <w:ilvl w:val="0"/>
          <w:numId w:val="1003"/>
        </w:numPr>
      </w:pPr>
      <w:r>
        <w:rPr>
          <w:i/>
          <w:iCs/>
        </w:rPr>
        <w:t xml:space="preserve">Research tool, with no medical claim in the participant documents.</w:t>
      </w:r>
      <w:r>
        <w:t xml:space="preserve"> </w:t>
      </w:r>
      <w:r>
        <w:t xml:space="preserve">MHRA Note 3 and Note 4 (23 July 2026) describe some human studies as research rather than medical use, and tell sponsors to ask the clinical-investigations team first. On that route, participant documents would not imply that insomnia will be diagnosed or improved. Data from that design are, in MHRA’s view, not then available for the conformity file (Note 6). Whether to use a research-tool description is Sara’s decision. The inference above assumes she is still seeking evidence for a medical monitoring claim.</w:t>
      </w:r>
    </w:p>
    <w:p>
      <w:pPr>
        <w:pStyle w:val="Compact"/>
        <w:numPr>
          <w:ilvl w:val="0"/>
          <w:numId w:val="1003"/>
        </w:numPr>
      </w:pPr>
      <w:r>
        <w:rPr>
          <w:i/>
          <w:iCs/>
        </w:rPr>
        <w:t xml:space="preserve">No clinical decision.</w:t>
      </w:r>
      <w:r>
        <w:t xml:space="preserve"> </w:t>
      </w:r>
      <w:r>
        <w:t xml:space="preserve">Note 3 says the medical purpose can exist even if the output never enters a care pathway. Sara can still ask MHRA. This note does not treat the point as an exemption.</w:t>
      </w:r>
    </w:p>
    <w:p>
      <w:pPr>
        <w:pStyle w:val="Compact"/>
        <w:numPr>
          <w:ilvl w:val="0"/>
          <w:numId w:val="1003"/>
        </w:numPr>
      </w:pPr>
      <w:r>
        <w:rPr>
          <w:i/>
          <w:iCs/>
        </w:rPr>
        <w:t xml:space="preserve">Performance evaluation, in-house manufacture, and an existing UKCA mark.</w:t>
      </w:r>
      <w:r>
        <w:t xml:space="preserve"> </w:t>
      </w:r>
      <w:r>
        <w:t xml:space="preserve">The same sources as in the diagnosis draft. None is treated here as an exemption that has already been accepted.</w:t>
      </w:r>
    </w:p>
    <w:p>
      <w:pPr>
        <w:pStyle w:val="FirstParagraph"/>
      </w:pPr>
      <w:r>
        <w:rPr>
          <w:b/>
          <w:bCs/>
        </w:rPr>
        <w:t xml:space="preserve">Ethics, NHS, Prolific, and the 2026 draft.</w:t>
      </w:r>
      <w:r>
        <w:t xml:space="preserve"> </w:t>
      </w:r>
      <w:r>
        <w:t xml:space="preserve">Same draft as the diagnosis text, and the same rule: Sara decides. Remote Prolific recruitment does not, on MHRA’s pages, replace a Research Ethics Service opinion if she decides the study is a clinical investigation. The medicines combined-review route is a different product. The draft 2026 regulations were still draft on the 28 September 2026 GOV.UK page. Prolific being the controller of account data does not settle Sleep and Health Clinic App Ltd’s lawful basis, which stays</w:t>
      </w:r>
      <w:r>
        <w:t xml:space="preserve"> </w:t>
      </w:r>
      <w:r>
        <w:rPr>
          <w:b/>
          <w:bCs/>
        </w:rPr>
        <w:t xml:space="preserve">legitimate interests (proposed), to be confirmed by the Data Protection Officer</w:t>
      </w:r>
      <w:r>
        <w:t xml:space="preserve">.</w:t>
      </w:r>
    </w:p>
    <w:p>
      <w:pPr>
        <w:pStyle w:val="BodyText"/>
      </w:pPr>
      <w:r>
        <w:rPr>
          <w:b/>
          <w:bCs/>
        </w:rPr>
        <w:t xml:space="preserve">A smaller route, if Sara wants one.</w:t>
      </w:r>
      <w:r>
        <w:t xml:space="preserve"> </w:t>
      </w:r>
      <w:r>
        <w:t xml:space="preserve">The smaller route would be a new intended purpose: wellbeing only, no insomnia-disorder claim, no diagnostic output, no use of the data in a UKCA file, and an email to MHRA with the annotated flowchart before recruitment. That would be a different study. It is not this monitoring claim with the notice left out. Sara chooses the purpose. This note does not.</w:t>
      </w:r>
    </w:p>
    <w:p>
      <w:r>
        <w:pict>
          <v:rect style="width:0;height:1.5pt" o:hralign="center" o:hrstd="t" o:hr="t"/>
        </w:pict>
      </w:r>
    </w:p>
    <w:bookmarkEnd w:id="45"/>
    <w:bookmarkEnd w:id="46"/>
    <w:bookmarkStart w:id="47" w:name="points-that-remain-not-confirmed"/>
    <w:p>
      <w:pPr>
        <w:pStyle w:val="Heading2"/>
      </w:pPr>
      <w:r>
        <w:t xml:space="preserve">Points that remain not confirmed</w:t>
      </w:r>
    </w:p>
    <w:p>
      <w:pPr>
        <w:pStyle w:val="FirstParagraph"/>
      </w:pPr>
      <w:r>
        <w:t xml:space="preserve">The following points could not be confirmed from the sources read.</w:t>
      </w:r>
    </w:p>
    <w:p>
      <w:pPr>
        <w:pStyle w:val="Compact"/>
        <w:numPr>
          <w:ilvl w:val="0"/>
          <w:numId w:val="1004"/>
        </w:numPr>
      </w:pPr>
      <w:r>
        <w:t xml:space="preserve">The Companies House record for Sleep and Health Clinic App Ltd, and whether UCLH, or any NHS trust, will be a site or only a processor.</w:t>
      </w:r>
    </w:p>
    <w:p>
      <w:pPr>
        <w:pStyle w:val="Compact"/>
        <w:numPr>
          <w:ilvl w:val="0"/>
          <w:numId w:val="1004"/>
        </w:numPr>
      </w:pPr>
      <w:r>
        <w:t xml:space="preserve">Any Prolific clause that names clinical investigations, medical devices or pregnancy; none was found.</w:t>
      </w:r>
    </w:p>
    <w:p>
      <w:pPr>
        <w:pStyle w:val="Compact"/>
        <w:numPr>
          <w:ilvl w:val="0"/>
          <w:numId w:val="1004"/>
        </w:numPr>
      </w:pPr>
      <w:r>
        <w:t xml:space="preserve">Whether Prolific uses the ICO’s standalone International Data Transfer Agreement, as distinct from the UK Addendum to the EU standard contractual clauses, which it does incorporate.</w:t>
      </w:r>
    </w:p>
    <w:p>
      <w:pPr>
        <w:pStyle w:val="Compact"/>
        <w:numPr>
          <w:ilvl w:val="0"/>
          <w:numId w:val="1004"/>
        </w:numPr>
      </w:pPr>
      <w:r>
        <w:t xml:space="preserve">The current consolidated wording of regulation 43, beyond the definition in regulation 2 and the original text as made.</w:t>
      </w:r>
    </w:p>
    <w:p>
      <w:pPr>
        <w:pStyle w:val="Compact"/>
        <w:numPr>
          <w:ilvl w:val="0"/>
          <w:numId w:val="1004"/>
        </w:numPr>
      </w:pPr>
      <w:r>
        <w:t xml:space="preserve">The text of Annexes VIII and X themselves, beyond the section numbers that regulation 16 prints.</w:t>
      </w:r>
    </w:p>
    <w:p>
      <w:pPr>
        <w:pStyle w:val="Compact"/>
        <w:numPr>
          <w:ilvl w:val="0"/>
          <w:numId w:val="1004"/>
        </w:numPr>
      </w:pPr>
      <w:r>
        <w:t xml:space="preserve">The amount of the MHRA fee.</w:t>
      </w:r>
    </w:p>
    <w:p>
      <w:pPr>
        <w:pStyle w:val="Compact"/>
        <w:numPr>
          <w:ilvl w:val="0"/>
          <w:numId w:val="1004"/>
        </w:numPr>
      </w:pPr>
      <w:r>
        <w:t xml:space="preserve">Whether device-only studies have been brought into combined HRA and MHRA review since the HRA page of 19 March 2025.</w:t>
      </w:r>
    </w:p>
    <w:p>
      <w:pPr>
        <w:pStyle w:val="Compact"/>
        <w:numPr>
          <w:ilvl w:val="0"/>
          <w:numId w:val="1004"/>
        </w:numPr>
      </w:pPr>
      <w:r>
        <w:t xml:space="preserve">A commencement date for the draft Medical Devices (Amendment) Regulations 2026. On 12 October 2026 no instrument with that title had been made on legislation.gov.uk, and GOV.UK on 28 September 2026 still called the statutory instrument a draft and said that it is expected to come into force in mid-2027. That expectation is not a commencement date.</w:t>
      </w:r>
    </w:p>
    <w:p>
      <w:pPr>
        <w:pStyle w:val="Compact"/>
        <w:numPr>
          <w:ilvl w:val="0"/>
          <w:numId w:val="1004"/>
        </w:numPr>
      </w:pPr>
      <w:r>
        <w:t xml:space="preserve">A formal MHRA view on this protocol. The flowchart email is the way for Sara to ask for one.</w:t>
      </w:r>
    </w:p>
    <w:p>
      <w:r>
        <w:pict>
          <v:rect style="width:0;height:1.5pt" o:hralign="center" o:hrstd="t" o:hr="t"/>
        </w:pict>
      </w:r>
    </w:p>
    <w:bookmarkEnd w:id="47"/>
    <w:bookmarkStart w:id="48" w:name="brief-summary"/>
    <w:p>
      <w:pPr>
        <w:pStyle w:val="Heading2"/>
      </w:pPr>
      <w:r>
        <w:t xml:space="preserve">Brief summary</w:t>
      </w:r>
    </w:p>
    <w:p>
      <w:pPr>
        <w:pStyle w:val="FirstParagraph"/>
      </w:pPr>
      <w:r>
        <w:t xml:space="preserve">These notes are background for Sara and do not decide the study. Prolific can recruit and pay adults, and it is the controller of its account data, but that does not set the lawful basis for Sleep and Health Clinic App Ltd, which stays as legitimate interests (proposed), for the Data Protection Officer to confirm. Answers about insomnia and pregnancy are special category data; Prolific’s own pages keep that kind of answer out of its survey tool, and they also exclude under-18s, clinic visits and posted devices. Whether the MHRA is likely to need 60 days’ notice is an inference drawn from the legal definition of a medical device and from the MHRA’s 2025 flow chart, and the same inference covers a study described as monitoring only. Sara, as sponsor, decides what goes into sections 3 and 16 of the protocol.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2026-10-15T08:15:34Z</dcterms:created>
  <dcterms:modified xsi:type="dcterms:W3CDTF">2026-10-15T08:15:34Z</dcterms:modified>
</cp:coreProperties>
</file>

<file path=docProps/custom.xml><?xml version="1.0" encoding="utf-8"?>
<Properties xmlns="http://schemas.openxmlformats.org/officeDocument/2006/custom-properties" xmlns:vt="http://schemas.openxmlformats.org/officeDocument/2006/docPropsVTypes"/>
</file>