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Amendment pending, 24 October 2026: A heart-rate intended-purpose amendment is in draft under LAZ-IP-001-AMD-01 (/workspace/lazoo-cmf/01-product/LAZ-IP-001-AMD-01-heart-rate-2026-10-24.md), awaiting review by Compliance and a decision by Sara McNeillis. The text below is unchanged and remains current until that amendment is approved. Data protection: see LAZ-DPIA-HR-input-2026-10-24 (/workspace/lazoo-cmf/02-governance/LAZ-DPIA-HR-input-2026-10-24.md) and the CBT-14 heart rate data protection impact assessment, owned by Research Governance (path to be added) [CBT-14-HR-DPIA-2026-10-24, version 0.2: /workspace/out/governance-2026-10-24/CBT-14-HR-DPIA-2026-10-24.md, sha256 ba0e21101aaf89547e5ba3959e20a60a4a55eae10db7e34aa6e71f587477cdc5]. Data protection for heart rate in Lazoo is assessed in the draft data protection impact assessment CBT-14-HR-DPIA-2026-10-24, version 0.2 (/workspace/out/governance-2026-10-24/CBT-14-HR-DPIA-2026-10-24.md, sha256 ba0e21101aaf89547e5ba3959e20a60a4a55eae10db7e34aa6e71f587477cdc5), prepared by the Research Governance Manager of Sleep and Health Clinic App Ltd on 24 October 2026. Heart rate from CBT-14 is not processed for any real user until that assessment has been reviewed by Compliance and signed off.</w:t>
      </w:r>
    </w:p>
    <w:p>
      <w:pPr>
        <w:pStyle w:val="BodyText"/>
      </w:pPr>
      <w:r>
        <w:t xml:space="preserve">Dated note, 24 October 2026 (round 6): the CBT-14 heart rate data protection impact assessment to cite now is CBT-14-HR-DPIA-2026-10-24, version 0.5.1: /workspace/out/governance-2026-10-24/CBT-14-HR-DPIA-v0.5.1-2026-10-24.md (sha256 41861d51f52ac2ff729ca0daffa39eb94f7d5c6486f0957d39f87fb7f49f53ea), with its Word copy /workspace/out/governance-2026-10-24/CBT-14-HR-DPIA-v0.5.1-2026-10-24.docx (sha256 c5b924fbec1eb8c957b14f15e7525e18c2a3204eecc55d9aa817205856e3cc2d). Version 0.5.1 has been passed by Compliance as a draft for sign-off, not approved, with sign-off pending Sara’s 25 October answers (Compliance re-check of about 17:42 London time, /workspace/compliance-reports/cbt14-hr-dpia-gate-2026-10-24.md). The</w:t>
      </w:r>
      <w:r>
        <w:t xml:space="preserve"> </w:t>
      </w:r>
      <w:r>
        <w:t xml:space="preserve">“path to be added”</w:t>
      </w:r>
      <w:r>
        <w:t xml:space="preserve"> </w:t>
      </w:r>
      <w:r>
        <w:t xml:space="preserve">wording and the version 0.2 citation in the note above are kept as recorded; this path answers them.</w:t>
      </w:r>
    </w:p>
    <w:p>
      <w:pPr>
        <w:pStyle w:val="BodyText"/>
      </w:pPr>
      <w:r>
        <w:t xml:space="preserve">Dated note, 24 October 2026: Sara McNeillis made the decision at 16:03 London time (</w:t>
      </w:r>
      <w:r>
        <w:t xml:space="preserve">“Add heart rate to Lazoo’s intended purpose”</w:t>
      </w:r>
      <w:r>
        <w:t xml:space="preserve">). The drafted amendment LAZ-IP-001-AMD-01 and the classification review LAZ-CL-001-REV-01 now await the Compliance gate (/workspace/compliance-reports/lazoo-hr-amendment-gate-2026-10-24.md) and then Sara’s approval of the wording. Until then heart rate stays outside Lazoo’s cleared intended purpose. The note above is kept as written.</w:t>
      </w:r>
    </w:p>
    <w:bookmarkStart w:id="39" w:name="X76494c0f9163d480519fc9a77cd8415b4e6107c"/>
    <w:p>
      <w:pPr>
        <w:pStyle w:val="Heading1"/>
      </w:pPr>
      <w:r>
        <w:t xml:space="preserve">Data Management Plan for the Lazoo validation study, version 0.4</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Document ID</w:t>
            </w:r>
          </w:p>
        </w:tc>
        <w:tc>
          <w:tcPr/>
          <w:p>
            <w:pPr>
              <w:pStyle w:val="Compact"/>
            </w:pPr>
            <w:r>
              <w:t xml:space="preserve">LAZ-VAL-001-DMP</w:t>
            </w:r>
          </w:p>
        </w:tc>
      </w:tr>
      <w:tr>
        <w:tc>
          <w:tcPr/>
          <w:p>
            <w:pPr>
              <w:pStyle w:val="Compact"/>
            </w:pPr>
            <w:r>
              <w:rPr>
                <w:b/>
                <w:bCs/>
              </w:rPr>
              <w:t xml:space="preserve">Version</w:t>
            </w:r>
          </w:p>
        </w:tc>
        <w:tc>
          <w:tcPr/>
          <w:p>
            <w:pPr>
              <w:pStyle w:val="Compact"/>
            </w:pPr>
            <w:r>
              <w:t xml:space="preserve">0.4 draft</w:t>
            </w:r>
          </w:p>
        </w:tc>
      </w:tr>
      <w:tr>
        <w:tc>
          <w:tcPr/>
          <w:p>
            <w:pPr>
              <w:pStyle w:val="Compact"/>
            </w:pPr>
            <w:r>
              <w:rPr>
                <w:b/>
                <w:bCs/>
              </w:rPr>
              <w:t xml:space="preserve">Date</w:t>
            </w:r>
          </w:p>
        </w:tc>
        <w:tc>
          <w:tcPr/>
          <w:p>
            <w:pPr>
              <w:pStyle w:val="Compact"/>
            </w:pPr>
            <w:r>
              <w:t xml:space="preserve">12 October 2026, with the scope update of 13 October 2026</w:t>
            </w:r>
          </w:p>
        </w:tc>
      </w:tr>
      <w:tr>
        <w:tc>
          <w:tcPr/>
          <w:p>
            <w:pPr>
              <w:pStyle w:val="Compact"/>
            </w:pPr>
            <w:r>
              <w:rPr>
                <w:b/>
                <w:bCs/>
              </w:rPr>
              <w:t xml:space="preserve">Sponsor and data controller</w:t>
            </w:r>
          </w:p>
        </w:tc>
        <w:tc>
          <w:tcPr/>
          <w:p>
            <w:pPr>
              <w:pStyle w:val="Compact"/>
            </w:pPr>
            <w:r>
              <w:t xml:space="preserve">Sleep and Health Clinic App Ltd (company number 12467350)</w:t>
            </w:r>
          </w:p>
        </w:tc>
      </w:tr>
      <w:tr>
        <w:tc>
          <w:tcPr/>
          <w:p>
            <w:pPr>
              <w:pStyle w:val="Compact"/>
            </w:pPr>
            <w:r>
              <w:rPr>
                <w:b/>
                <w:bCs/>
              </w:rPr>
              <w:t xml:space="preserve">Protocol</w:t>
            </w:r>
          </w:p>
        </w:tc>
        <w:tc>
          <w:tcPr/>
          <w:p>
            <w:pPr>
              <w:pStyle w:val="Compact"/>
            </w:pPr>
            <w:r>
              <w:t xml:space="preserve">LAZ-VAL-001, version 0.5</w:t>
            </w:r>
          </w:p>
        </w:tc>
      </w:tr>
      <w:tr>
        <w:tc>
          <w:tcPr/>
          <w:p>
            <w:pPr>
              <w:pStyle w:val="Compact"/>
            </w:pPr>
            <w:r>
              <w:rPr>
                <w:b/>
                <w:bCs/>
              </w:rPr>
              <w:t xml:space="preserve">Research contact</w:t>
            </w:r>
          </w:p>
        </w:tc>
        <w:tc>
          <w:tcPr/>
          <w:p>
            <w:pPr>
              <w:pStyle w:val="Compact"/>
            </w:pPr>
            <w:r>
              <w:t xml:space="preserve">admin@sleepandhealth.org</w:t>
            </w:r>
          </w:p>
        </w:tc>
      </w:tr>
      <w:tr>
        <w:tc>
          <w:tcPr/>
          <w:p>
            <w:pPr>
              <w:pStyle w:val="Compact"/>
            </w:pPr>
            <w:r>
              <w:rPr>
                <w:b/>
                <w:bCs/>
              </w:rPr>
              <w:t xml:space="preserve">Status</w:t>
            </w:r>
          </w:p>
        </w:tc>
        <w:tc>
          <w:tcPr/>
          <w:p>
            <w:pPr>
              <w:pStyle w:val="Compact"/>
            </w:pPr>
            <w:r>
              <w:t xml:space="preserve">Working draft for sponsor confirmation</w:t>
            </w:r>
          </w:p>
        </w:tc>
      </w:tr>
    </w:tbl>
    <w:bookmarkStart w:id="20" w:name="document-history"/>
    <w:p>
      <w:pPr>
        <w:pStyle w:val="Heading2"/>
      </w:pPr>
      <w:r>
        <w:t xml:space="preserve">Document 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changes</w:t>
            </w:r>
          </w:p>
        </w:tc>
      </w:tr>
      <w:tr>
        <w:tc>
          <w:tcPr/>
          <w:p>
            <w:pPr>
              <w:pStyle w:val="Compact"/>
            </w:pPr>
            <w:r>
              <w:t xml:space="preserve">0.2</w:t>
            </w:r>
          </w:p>
        </w:tc>
        <w:tc>
          <w:tcPr/>
          <w:p>
            <w:pPr>
              <w:pStyle w:val="Compact"/>
            </w:pPr>
            <w:r>
              <w:t xml:space="preserve">28 August 2026</w:t>
            </w:r>
          </w:p>
        </w:tc>
        <w:tc>
          <w:tcPr/>
          <w:p>
            <w:pPr>
              <w:pStyle w:val="Compact"/>
            </w:pPr>
            <w:r>
              <w:t xml:space="preserve">First plan. Change note of 3 October 2026: the separate later file for the software as a medical device and the instruction to freeze a copy were removed, as there is one product and nothing is frozen; the formulas for total sleep time, sleep onset latency, wake after sleep onset and sleep efficiency were recorded as draft study arithmetic and not as a product claim. Change note of 5 October 2026: classification fixed by Sara McNeillis as MHRA software as a medical device Class IIa (class 2a), one layer only, replacing the Class IIb working position of 3 October 2026; clinical claims, purpose and planning claim slots left for the sponsor to confirm.</w:t>
            </w:r>
          </w:p>
        </w:tc>
      </w:tr>
      <w:tr>
        <w:tc>
          <w:tcPr/>
          <w:p>
            <w:pPr>
              <w:pStyle w:val="Compact"/>
            </w:pPr>
            <w:r>
              <w:t xml:space="preserve">0.3</w:t>
            </w:r>
          </w:p>
        </w:tc>
        <w:tc>
          <w:tcPr/>
          <w:p>
            <w:pPr>
              <w:pStyle w:val="Compact"/>
            </w:pPr>
            <w:r>
              <w:t xml:space="preserve">11 October 2026</w:t>
            </w:r>
          </w:p>
        </w:tc>
        <w:tc>
          <w:tcPr/>
          <w:p>
            <w:pPr>
              <w:pStyle w:val="Compact"/>
            </w:pPr>
            <w:r>
              <w:t xml:space="preserve">Written to match protocol version 0.4. Added the partner site as processor for study data, Prolific as the recruitment route, the rule that identifiable free text stays within Sleep and Health Clinic App Ltd, the rule that any outbound share of study data needs a current data note, and the standard recruitment exclusion wording. Lawful basis aligned with the protocol: legitimate interests proposed, for the Data Protection Officer to confirm.</w:t>
            </w:r>
          </w:p>
          <w:p>
            <w:pPr>
              <w:pStyle w:val="Compact"/>
            </w:pPr>
            <w:r>
              <w:t xml:space="preserve">Dated note, 30 October 2026: the Data Protection Officer is Martin Hickley.</w:t>
            </w:r>
          </w:p>
        </w:tc>
      </w:tr>
      <w:tr>
        <w:tc>
          <w:tcPr/>
          <w:p>
            <w:pPr>
              <w:pStyle w:val="Compact"/>
            </w:pPr>
            <w:r>
              <w:t xml:space="preserve">0.4</w:t>
            </w:r>
          </w:p>
        </w:tc>
        <w:tc>
          <w:tcPr/>
          <w:p>
            <w:pPr>
              <w:pStyle w:val="Compact"/>
            </w:pPr>
            <w:r>
              <w:t xml:space="preserve">12 October 2026</w:t>
            </w:r>
          </w:p>
        </w:tc>
        <w:tc>
          <w:tcPr/>
          <w:p>
            <w:pPr>
              <w:pStyle w:val="Compact"/>
            </w:pPr>
            <w:r>
              <w:t xml:space="preserve">Written to match protocol version 0.5. UCLH named as the intended partner site and processor, still to be confirmed. Prolific confirmed as the only recruitment route. Pregnancy exclusion added. Actigraphy not included. Sponsor-owned items before the Chief Investigator signs listed.</w:t>
            </w:r>
          </w:p>
        </w:tc>
      </w:tr>
      <w:tr>
        <w:tc>
          <w:tcPr/>
          <w:p>
            <w:pPr>
              <w:pStyle w:val="Compact"/>
            </w:pPr>
            <w:r>
              <w:t xml:space="preserve">0.4, scope update</w:t>
            </w:r>
          </w:p>
        </w:tc>
        <w:tc>
          <w:tcPr/>
          <w:p>
            <w:pPr>
              <w:pStyle w:val="Compact"/>
            </w:pPr>
            <w:r>
              <w:t xml:space="preserve">13 October 2026</w:t>
            </w:r>
          </w:p>
        </w:tc>
        <w:tc>
          <w:tcPr/>
          <w:p>
            <w:pPr>
              <w:pStyle w:val="Compact"/>
            </w:pPr>
            <w:r>
              <w:t xml:space="preserve">Sponsor decided that Lazoo’s intended purpose is insomnia monitoring only and that the study tests monitoring only; the alternative of diagnosis and monitoring removed. Obstructive sleep apnoea kept separate from insomnia and outside the study. Lazoo may be used in pregnancy; pregnancy excluded from this validation study because use in pregnancy will be evaluated in a separate, dedicated study later.</w:t>
            </w:r>
          </w:p>
        </w:tc>
      </w:tr>
      <w:tr>
        <w:tc>
          <w:tcPr/>
          <w:p>
            <w:pPr>
              <w:pStyle w:val="Compact"/>
            </w:pPr>
            <w:r>
              <w:t xml:space="preserve">0.4, heart rate addition</w:t>
            </w:r>
          </w:p>
        </w:tc>
        <w:tc>
          <w:tcPr/>
          <w:p>
            <w:pPr>
              <w:pStyle w:val="Compact"/>
            </w:pPr>
            <w:r>
              <w:t xml:space="preserve">24 October 2026</w:t>
            </w:r>
          </w:p>
        </w:tc>
        <w:tc>
          <w:tcPr/>
          <w:p>
            <w:pPr>
              <w:pStyle w:val="Compact"/>
            </w:pPr>
            <w:r>
              <w:t xml:space="preserve">Dated addition inserted after the proposed lawful basis: heart rate product processing under Article 6(1)(a) with Article 9(2)(a), the UK GDPR Articles 84A to 84D safeguards, LAZ-VAL-001 collects no heart rate, and a citation of CBT-14-HR-DPIA-2026-10-24, version 0.2. Version number unchanged; no existing text altered.</w:t>
            </w:r>
          </w:p>
          <w:p>
            <w:pPr>
              <w:pStyle w:val="Compact"/>
            </w:pPr>
            <w: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tc>
      </w:tr>
    </w:tbl>
    <w:p>
      <w:pPr>
        <w:pStyle w:val="BodyText"/>
      </w:pPr>
      <w:r>
        <w:t xml:space="preserve">Dated note, 24 October 2026 (round 6): the CBT-14 heart rate data protection impact assessment to cite now is CBT-14-HR-DPIA-2026-10-24, version 0.5.1: /workspace/out/governance-2026-10-24/CBT-14-HR-DPIA-v0.5.1-2026-10-24.md (sha256 41861d51f52ac2ff729ca0daffa39eb94f7d5c6486f0957d39f87fb7f49f53ea), with its Word copy /workspace/out/governance-2026-10-24/CBT-14-HR-DPIA-v0.5.1-2026-10-24.docx (sha256 c5b924fbec1eb8c957b14f15e7525e18c2a3204eecc55d9aa817205856e3cc2d). Version 0.5.1 has been passed by Compliance as a draft for sign-off, not approved, with sign-off pending Sara’s 25 October answers (Compliance re-check of about 17:42 London time, /workspace/compliance-reports/cbt14-hr-dpia-gate-2026-10-24.md). The version 0.2 citation in the history row above is kept as recorded.</w:t>
      </w:r>
    </w:p>
    <w:p>
      <w:pPr>
        <w:pStyle w:val="BodyText"/>
      </w:pPr>
      <w:r>
        <w:t xml:space="preserve">Versions 0.2 and 0.3 are superseded and kept on file.</w:t>
      </w:r>
    </w:p>
    <w:bookmarkEnd w:id="20"/>
    <w:bookmarkStart w:id="21" w:name="introduction-and-scope"/>
    <w:p>
      <w:pPr>
        <w:pStyle w:val="Heading2"/>
      </w:pPr>
      <w:r>
        <w:t xml:space="preserve">1. Introduction and scope</w:t>
      </w:r>
    </w:p>
    <w:p>
      <w:pPr>
        <w:pStyle w:val="FirstParagraph"/>
      </w:pPr>
      <w:r>
        <w:t xml:space="preserve">This plan is a companion to the study protocol (version 0.5) and the case report form (version 0.3). It describes how data for the validation study are collected, stored, checked, protected, retained and eventually destroyed. It covers the management of study data only and is not a plan for training artificial intelligence.</w:t>
      </w:r>
    </w:p>
    <w:p>
      <w:pPr>
        <w:pStyle w:val="BodyText"/>
      </w:pPr>
      <w:r>
        <w:t xml:space="preserve">The intended purpose of Lazoo is insomnia monitoring only, as decided by the sponsor on 13 October 2026, and the study tests monitoring only. It measures no diagnostic accuracy, and obstructive sleep apnoea stays separate from insomnia and outside the study. Lazoo may be used in pregnancy, as confirmed on 13 October 2026; pregnancy is excluded from this validation study because use in pregnancy will be evaluated in a separate, dedicated study later (sponsor decision, 13 October 2026).</w:t>
      </w:r>
    </w:p>
    <w:p>
      <w:pPr>
        <w:pStyle w:val="BodyText"/>
      </w:pPr>
      <w:r>
        <w:t xml:space="preserve">Consent choice 4 (future clinical tools or models) is off for the default study population. The artificial intelligence validation report and the clinical evaluation report are on hold, and neither will be written from these data.</w:t>
      </w:r>
    </w:p>
    <w:p>
      <w:pPr>
        <w:pStyle w:val="BodyText"/>
      </w:pPr>
      <w:r>
        <w:t xml:space="preserve">Before the Chief Investigator signs the protocol, the sponsor will close four items that it owns: a recorded review of Prolific’s terms (Prolific acts as an independent controller of its account data, so no data processing agreement is needed), a dated copy of Prolific’s terms placed on file, a completed data protection impact assessment (DPIA), and a recorded decision under regulation 16 of the UK Medical Devices Regulations 2002.</w:t>
      </w:r>
    </w:p>
    <w:bookmarkEnd w:id="21"/>
    <w:bookmarkStart w:id="22" w:name="roles-and-responsibilities-for-data"/>
    <w:p>
      <w:pPr>
        <w:pStyle w:val="Heading2"/>
      </w:pPr>
      <w:r>
        <w:t xml:space="preserve">2. Roles and responsibilities for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 for data</w:t>
            </w:r>
          </w:p>
        </w:tc>
      </w:tr>
      <w:tr>
        <w:tc>
          <w:tcPr/>
          <w:p>
            <w:pPr>
              <w:pStyle w:val="Compact"/>
            </w:pPr>
            <w:r>
              <w:t xml:space="preserve">Sponsor and controller: Sleep and Health Clinic App Ltd</w:t>
            </w:r>
          </w:p>
        </w:tc>
        <w:tc>
          <w:tcPr/>
          <w:p>
            <w:pPr>
              <w:pStyle w:val="Compact"/>
            </w:pPr>
            <w:r>
              <w:t xml:space="preserve">Controller for all study data; authorises storage, processors and outbound data notes</w:t>
            </w:r>
          </w:p>
        </w:tc>
      </w:tr>
      <w:tr>
        <w:tc>
          <w:tcPr/>
          <w:p>
            <w:pPr>
              <w:pStyle w:val="Compact"/>
            </w:pPr>
            <w:r>
              <w:t xml:space="preserve">Chief Investigator (proposed): Dr Sara McNeillis</w:t>
            </w:r>
          </w:p>
        </w:tc>
        <w:tc>
          <w:tcPr/>
          <w:p>
            <w:pPr>
              <w:pStyle w:val="Compact"/>
            </w:pPr>
            <w:r>
              <w:t xml:space="preserve">Oversees collection, pairing logs, export receipts and database lock; holds the archivist duty until an archivist is named</w:t>
            </w:r>
          </w:p>
        </w:tc>
      </w:tr>
      <w:tr>
        <w:tc>
          <w:tcPr/>
          <w:p>
            <w:pPr>
              <w:pStyle w:val="Compact"/>
            </w:pPr>
            <w:r>
              <w:t xml:space="preserve">Data manager</w:t>
            </w:r>
          </w:p>
        </w:tc>
        <w:tc>
          <w:tcPr/>
          <w:p>
            <w:pPr>
              <w:pStyle w:val="Compact"/>
            </w:pPr>
            <w:r>
              <w:t xml:space="preserve">[PLACEHOLDER: data manager, not yet named]; co-signs database lock</w:t>
            </w:r>
          </w:p>
        </w:tc>
      </w:tr>
      <w:tr>
        <w:tc>
          <w:tcPr/>
          <w:p>
            <w:pPr>
              <w:pStyle w:val="Compact"/>
            </w:pPr>
            <w:r>
              <w:t xml:space="preserve">Independent statistician</w:t>
            </w:r>
          </w:p>
        </w:tc>
        <w:tc>
          <w:tcPr/>
          <w:p>
            <w:pPr>
              <w:pStyle w:val="Compact"/>
            </w:pPr>
            <w:r>
              <w:t xml:space="preserve">[PLACEHOLDER: not yet appointed]; receives the pseudonymised analysis file under a current data note and recomputes derived quantities</w:t>
            </w:r>
          </w:p>
        </w:tc>
      </w:tr>
      <w:tr>
        <w:tc>
          <w:tcPr/>
          <w:p>
            <w:pPr>
              <w:pStyle w:val="Compact"/>
            </w:pPr>
            <w:r>
              <w:t xml:space="preserve">Clinical master file manager</w:t>
            </w:r>
          </w:p>
        </w:tc>
        <w:tc>
          <w:tcPr/>
          <w:p>
            <w:pPr>
              <w:pStyle w:val="Compact"/>
            </w:pPr>
            <w:r>
              <w:t xml:space="preserve">Maintains the clinical master file and trial master file</w:t>
            </w:r>
          </w:p>
        </w:tc>
      </w:tr>
      <w:tr>
        <w:tc>
          <w:tcPr/>
          <w:p>
            <w:pPr>
              <w:pStyle w:val="Compact"/>
            </w:pPr>
            <w:r>
              <w:t xml:space="preserve">Data Protection Officer</w:t>
            </w:r>
          </w:p>
        </w:tc>
        <w:tc>
          <w:tcPr/>
          <w:p>
            <w:pPr>
              <w:pStyle w:val="Compact"/>
            </w:pPr>
            <w:r>
              <w:t xml:space="preserve">[PLACEHOLDER: not yet named]; confirms the lawful basis and reviews the DPIA</w:t>
            </w:r>
          </w:p>
          <w:p>
            <w:pPr>
              <w:pStyle w:val="Compact"/>
            </w:pPr>
            <w:r>
              <w:t xml:space="preserve">Dated note, 30 October 2026: the Data Protection Officer is Martin Hickley.</w:t>
            </w:r>
          </w:p>
        </w:tc>
      </w:tr>
      <w:tr>
        <w:tc>
          <w:tcPr/>
          <w:p>
            <w:pPr>
              <w:pStyle w:val="Compact"/>
            </w:pPr>
            <w:r>
              <w:t xml:space="preserve">Partner site (UCLH, intended, still to be confirmed)</w:t>
            </w:r>
          </w:p>
        </w:tc>
        <w:tc>
          <w:tcPr/>
          <w:p>
            <w:pPr>
              <w:pStyle w:val="Compact"/>
            </w:pPr>
            <w:r>
              <w:t xml:space="preserve">Processor for screening, consent and case report form entries made by delegated site staff, under an Article 28 agreement</w:t>
            </w:r>
          </w:p>
        </w:tc>
      </w:tr>
      <w:tr>
        <w:tc>
          <w:tcPr/>
          <w:p>
            <w:pPr>
              <w:pStyle w:val="Compact"/>
            </w:pPr>
            <w:r>
              <w:t xml:space="preserve">App hosting provider</w:t>
            </w:r>
          </w:p>
        </w:tc>
        <w:tc>
          <w:tcPr/>
          <w:p>
            <w:pPr>
              <w:pStyle w:val="Compact"/>
            </w:pPr>
            <w:r>
              <w:t xml:space="preserve">[PLACEHOLDER: app backend vendor, not yet contracted]; processor under a data processing agreement</w:t>
            </w:r>
          </w:p>
        </w:tc>
      </w:tr>
      <w:tr>
        <w:tc>
          <w:tcPr/>
          <w:p>
            <w:pPr>
              <w:pStyle w:val="Compact"/>
            </w:pPr>
            <w:r>
              <w:t xml:space="preserve">Named archivist</w:t>
            </w:r>
          </w:p>
        </w:tc>
        <w:tc>
          <w:tcPr/>
          <w:p>
            <w:pPr>
              <w:pStyle w:val="Compact"/>
            </w:pPr>
            <w:r>
              <w:t xml:space="preserve">[PLACEHOLDER: not yet appointed]</w:t>
            </w:r>
          </w:p>
        </w:tc>
      </w:tr>
    </w:tbl>
    <w:bookmarkEnd w:id="22"/>
    <w:bookmarkStart w:id="24" w:name="data-sources"/>
    <w:p>
      <w:pPr>
        <w:pStyle w:val="Heading2"/>
      </w:pPr>
      <w:r>
        <w:t xml:space="preserve">3. Data sources</w:t>
      </w:r>
    </w:p>
    <w:p>
      <w:pPr>
        <w:pStyle w:val="FirstParagraph"/>
      </w:pPr>
      <w:r>
        <w:t xml:space="preserve">This section names every source that will feed the analysis file, and the sources that will be kept out of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What is captured</w:t>
            </w:r>
          </w:p>
        </w:tc>
        <w:tc>
          <w:tcPr/>
          <w:p>
            <w:pPr>
              <w:pStyle w:val="Compact"/>
            </w:pPr>
            <w:r>
              <w:t xml:space="preserve">System of record</w:t>
            </w:r>
          </w:p>
        </w:tc>
        <w:tc>
          <w:tcPr/>
          <w:p>
            <w:pPr>
              <w:pStyle w:val="Compact"/>
            </w:pPr>
            <w:r>
              <w:t xml:space="preserve">Notes</w:t>
            </w:r>
          </w:p>
        </w:tc>
      </w:tr>
      <w:tr>
        <w:tc>
          <w:tcPr/>
          <w:p>
            <w:pPr>
              <w:pStyle w:val="Compact"/>
            </w:pPr>
            <w:r>
              <w:t xml:space="preserve">Lazoo version 1 restricted app</w:t>
            </w:r>
          </w:p>
        </w:tc>
        <w:tc>
          <w:tcPr/>
          <w:p>
            <w:pPr>
              <w:pStyle w:val="Compact"/>
            </w:pPr>
            <w:r>
              <w:t xml:space="preserve">Self-reported sleep and lifestyle log, consent choices, app_version, operating system, study_link, and a history of edits to which entries can only be added</w:t>
            </w:r>
          </w:p>
        </w:tc>
        <w:tc>
          <w:tcPr/>
          <w:p>
            <w:pPr>
              <w:pStyle w:val="Compact"/>
            </w:pPr>
            <w:r>
              <w:t xml:space="preserve">App backend (vendor still to be confirmed; not yet contracted)</w:t>
            </w:r>
          </w:p>
        </w:tc>
        <w:tc>
          <w:tcPr/>
          <w:p>
            <w:pPr>
              <w:pStyle w:val="Compact"/>
            </w:pPr>
            <w:r>
              <w:t xml:space="preserve">Distributed through Apple Unlisted App Distribution and Google Play closed testing. Raw timestamps. No scores or flags.</w:t>
            </w:r>
          </w:p>
        </w:tc>
      </w:tr>
      <w:tr>
        <w:tc>
          <w:tcPr/>
          <w:p>
            <w:pPr>
              <w:pStyle w:val="Compact"/>
            </w:pPr>
            <w:r>
              <w:t xml:space="preserve">CSD-M comparator</w:t>
            </w:r>
          </w:p>
        </w:tc>
        <w:tc>
          <w:tcPr/>
          <w:p>
            <w:pPr>
              <w:pStyle w:val="Compact"/>
            </w:pPr>
            <w:r>
              <w:t xml:space="preserve">Construct values (clock times, durations, counts and ratings) for pairing</w:t>
            </w:r>
          </w:p>
        </w:tc>
        <w:tc>
          <w:tcPr/>
          <w:p>
            <w:pPr>
              <w:pStyle w:val="Compact"/>
            </w:pPr>
            <w:r>
              <w:t xml:space="preserve">Locked PDF or electronic form, uploaded electronically by the participant with the study ID only, plus transcription onto the case report form</w:t>
            </w:r>
          </w:p>
        </w:tc>
        <w:tc>
          <w:tcPr/>
          <w:p>
            <w:pPr>
              <w:pStyle w:val="Compact"/>
            </w:pPr>
            <w:r>
              <w:t xml:space="preserve">Cite Carney 2012, doi:10.5665/sleep.1642. Version: the CSD-M as published in Carney et al. 2012. A licence for use in the UK is not yet in place and must be in place before first use. An industry licence from Colleen Carney is required before the exact question wording or the publisher’s PDF enters the trial master file; this is still to be confirmed.</w:t>
            </w:r>
          </w:p>
        </w:tc>
      </w:tr>
      <w:tr>
        <w:tc>
          <w:tcPr/>
          <w:p>
            <w:pPr>
              <w:pStyle w:val="Compact"/>
            </w:pPr>
            <w:r>
              <w:t xml:space="preserve">Case report form booklet</w:t>
            </w:r>
          </w:p>
        </w:tc>
        <w:tc>
          <w:tcPr/>
          <w:p>
            <w:pPr>
              <w:pStyle w:val="Compact"/>
            </w:pPr>
            <w:r>
              <w:t xml:space="preserve">Eligibility, pairing log, System Usability Scale, structured questions, adverse events and distress, signatures</w:t>
            </w:r>
          </w:p>
        </w:tc>
        <w:tc>
          <w:tcPr/>
          <w:p>
            <w:pPr>
              <w:pStyle w:val="Compact"/>
            </w:pPr>
            <w:r>
              <w:t xml:space="preserve">Paper case report form until an electronic case report form is named</w:t>
            </w:r>
          </w:p>
        </w:tc>
        <w:tc>
          <w:tcPr/>
          <w:p>
            <w:pPr>
              <w:pStyle w:val="Compact"/>
            </w:pPr>
            <w:r>
              <w:t xml:space="preserve">Participant ID LAZ-VAL-001-NNN. Eligibility on the case report form includes the exclusion of pregnancy, excluded from this validation study because use in pregnancy will be evaluated in a separate, dedicated study later (sponsor decision, 13 October 2026).</w:t>
            </w:r>
          </w:p>
        </w:tc>
      </w:tr>
      <w:tr>
        <w:tc>
          <w:tcPr/>
          <w:p>
            <w:pPr>
              <w:pStyle w:val="Compact"/>
            </w:pPr>
            <w:r>
              <w:t xml:space="preserve">Consent record</w:t>
            </w:r>
          </w:p>
        </w:tc>
        <w:tc>
          <w:tcPr/>
          <w:p>
            <w:pPr>
              <w:pStyle w:val="Compact"/>
            </w:pPr>
            <w:r>
              <w:t xml:space="preserve">Consent choices 1 to 4; the version of the wording; the electronic consent timestamp (joint HRA and MHRA statement on electronic consent); identity by Prolific ID, attested by Prolific; the participant’s copy of the signed form (a downloadable PDF in the app at signing, kept in the study account, with a copy through Prolific messaging on request; no email address held); withdrawal</w:t>
            </w:r>
          </w:p>
        </w:tc>
        <w:tc>
          <w:tcPr/>
          <w:p>
            <w:pPr>
              <w:pStyle w:val="Compact"/>
            </w:pPr>
            <w:r>
              <w:t xml:space="preserve">Consent file and in-app store</w:t>
            </w:r>
          </w:p>
        </w:tc>
        <w:tc>
          <w:tcPr/>
          <w:p>
            <w:pPr>
              <w:pStyle w:val="Compact"/>
            </w:pPr>
            <w:r>
              <w:t xml:space="preserve">The study requires choices 1 and 3; choice 4 is off by default</w:t>
            </w:r>
          </w:p>
          <w:p>
            <w:pPr>
              <w:pStyle w:val="Compact"/>
            </w:pPr>
            <w: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tc>
      </w:tr>
      <w:tr>
        <w:tc>
          <w:tcPr/>
          <w:p>
            <w:pPr>
              <w:pStyle w:val="Compact"/>
            </w:pPr>
            <w:r>
              <w:t xml:space="preserve">Export receipts</w:t>
            </w:r>
          </w:p>
        </w:tc>
        <w:tc>
          <w:tcPr/>
          <w:p>
            <w:pPr>
              <w:pStyle w:val="Compact"/>
            </w:pPr>
            <w:r>
              <w:t xml:space="preserve">File IDs of the JSON and CSV exports, the date, and who downloaded them</w:t>
            </w:r>
          </w:p>
        </w:tc>
        <w:tc>
          <w:tcPr/>
          <w:p>
            <w:pPr>
              <w:pStyle w:val="Compact"/>
            </w:pPr>
            <w:r>
              <w:t xml:space="preserve">Study folder on the sponsor’s storage</w:t>
            </w:r>
          </w:p>
        </w:tc>
        <w:tc>
          <w:tcPr/>
          <w:p>
            <w:pPr>
              <w:pStyle w:val="Compact"/>
            </w:pPr>
          </w:p>
        </w:tc>
      </w:tr>
      <w:tr>
        <w:tc>
          <w:tcPr/>
          <w:p>
            <w:pPr>
              <w:pStyle w:val="Compact"/>
            </w:pPr>
            <w:r>
              <w:t xml:space="preserve">Recruitment platform (Prolific, the only recruitment route)</w:t>
            </w:r>
          </w:p>
        </w:tc>
        <w:tc>
          <w:tcPr/>
          <w:p>
            <w:pPr>
              <w:pStyle w:val="Compact"/>
            </w:pPr>
            <w:r>
              <w:t xml:space="preserve">Prolific participant ID, screening responses and completion status needed to invite volunteers and record completion</w:t>
            </w:r>
          </w:p>
        </w:tc>
        <w:tc>
          <w:tcPr/>
          <w:p>
            <w:pPr>
              <w:pStyle w:val="Compact"/>
            </w:pPr>
            <w:r>
              <w:t xml:space="preserve">Prolific, through Sleep and Health Clinic App Ltd’s own account</w:t>
            </w:r>
          </w:p>
        </w:tc>
        <w:tc>
          <w:tcPr/>
          <w:p>
            <w:pPr>
              <w:pStyle w:val="Compact"/>
            </w:pPr>
            <w:r>
              <w:t xml:space="preserve">Independent controller of its account data; no data processing agreement. Prolific’s terms will be reviewed and the review recorded here before recruitment opens; that review is an item owned by the sponsor that will be closed before the Chief Investigator signs, and a dated copy of Prolific’s terms will be filed at the same point. Prolific IDs are personal data and are linked to study participant IDs only on the sponsor’s storage. Prolific does not store answers given outside its platform. Prolific’s Survey Builder is not used for special category data.</w:t>
            </w:r>
          </w:p>
        </w:tc>
      </w:tr>
      <w:tr>
        <w:tc>
          <w:tcPr/>
          <w:p>
            <w:pPr>
              <w:pStyle w:val="Compact"/>
            </w:pPr>
            <w:r>
              <w:t xml:space="preserve">UCLH (intended partner site, still to be confirmed)</w:t>
            </w:r>
          </w:p>
        </w:tc>
        <w:tc>
          <w:tcPr/>
          <w:p>
            <w:pPr>
              <w:pStyle w:val="Compact"/>
            </w:pPr>
            <w:r>
              <w:t xml:space="preserve">Screening, consent and case report form entries made by delegated site staff</w:t>
            </w:r>
          </w:p>
        </w:tc>
        <w:tc>
          <w:tcPr/>
          <w:p>
            <w:pPr>
              <w:pStyle w:val="Compact"/>
            </w:pPr>
            <w:r>
              <w:t xml:space="preserve">Investigator site file, then the sponsor’s storage</w:t>
            </w:r>
          </w:p>
        </w:tc>
        <w:tc>
          <w:tcPr/>
          <w:p>
            <w:pPr>
              <w:pStyle w:val="Compact"/>
            </w:pPr>
            <w:r>
              <w:t xml:space="preserve">Intended processor for the sponsor under an Article 28 agreement; no agreement in place. The role of UCLH is solely that of a paid subcontracted site and data processor for Sleep and Health Clinic App Ltd, separate from any UCLH-sponsored feasibility study, which has its own file and is not part of this protocol. See section 5.</w:t>
            </w:r>
          </w:p>
        </w:tc>
      </w:tr>
    </w:tbl>
    <w:bookmarkStart w:id="23" w:name="sources-outside-this-study"/>
    <w:p>
      <w:pPr>
        <w:pStyle w:val="Heading3"/>
      </w:pPr>
      <w:r>
        <w:t xml:space="preserve">Sources outside this study</w:t>
      </w:r>
    </w:p>
    <w:p>
      <w:pPr>
        <w:pStyle w:val="FirstParagraph"/>
      </w:pPr>
      <w:r>
        <w:t xml:space="preserve">The analysis draws only on the sources listed above. The following are therefore outside it: any patient list (see section 4); NHS electronic records and the clinic notes of Sleep &amp; Health Clinic Ltd (08904119); datasets from studies run by other sponsors; streams from wearable devices or core body temperature sensors, which are reserved and empty (wrist actigraphy is not included in this version); ai_event or any model output; national registry feeds, platforms for cognitive behavioural therapy for insomnia (CBT-I) and sleep-phenotyping tools; and unlicensed images of the CSD-M PDF used as if they were the case report form.</w:t>
      </w:r>
    </w:p>
    <w:bookmarkEnd w:id="23"/>
    <w:bookmarkEnd w:id="24"/>
    <w:bookmarkStart w:id="25" w:name="recruitment"/>
    <w:p>
      <w:pPr>
        <w:pStyle w:val="Heading2"/>
      </w:pPr>
      <w:r>
        <w:t xml:space="preserve">4. Recruitment</w:t>
      </w:r>
    </w:p>
    <w:p>
      <w:pPr>
        <w:pStyle w:val="FirstParagraph"/>
      </w:pPr>
      <w:r>
        <w:t xml:space="preserve">Prolific, through Sleep and Health Clinic App Ltd’s own account, is the only recruitment route, and the partner site does not recruit. Any change needs a protocol amendment and ethics approval.</w:t>
      </w:r>
    </w:p>
    <w:p>
      <w:pPr>
        <w:pStyle w:val="BodyText"/>
      </w:pPr>
      <w:r>
        <w:t xml:space="preserve">Participants come only from the Prolific pool, so no one is recruited from any NHS organisation’s patient lists, from UCLH’s patients or from the patients of Sleep &amp; Health Clinic Ltd (08904119). Pregnancy is excluded from this validation study because use in pregnancy will be evaluated in a separate, dedicated study later (sponsor decision, 13 October 2026), and this exclusion is recorded on the case report form.</w:t>
      </w:r>
    </w:p>
    <w:p>
      <w:pPr>
        <w:pStyle w:val="BodyText"/>
      </w:pPr>
      <w:r>
        <w:t xml:space="preserve">The pairing key is the participant ID together with the diary_date. The default site code is APP-LTD-VOL. For UCLH, the intended partner site, still to be confirmed, a site code will be issued once the site agreement has been signed and the sponsor has opened the site; no agreement is yet in place.</w:t>
      </w:r>
    </w:p>
    <w:bookmarkEnd w:id="25"/>
    <w:bookmarkStart w:id="26" w:name="partner-site-and-rules-for-data-sharing"/>
    <w:p>
      <w:pPr>
        <w:pStyle w:val="Heading2"/>
      </w:pPr>
      <w:r>
        <w:t xml:space="preserve">5. Partner site and rules for data sharing</w:t>
      </w:r>
    </w:p>
    <w:p>
      <w:pPr>
        <w:pStyle w:val="FirstParagraph"/>
      </w:pPr>
      <w:r>
        <w:t xml:space="preserve">This section sets the partner site’s data-protection role and the two rules that apply to every outbound share of data.</w:t>
      </w:r>
    </w:p>
    <w:p>
      <w:pPr>
        <w:pStyle w:val="BodyText"/>
      </w:pPr>
      <w:r>
        <w:t xml:space="preserve">Sleep and Health Clinic App Ltd is the controller for all study data. UCLH, the intended partner site, still to be confirmed, is a processor. No agreement is in place, and UCLH will be approached once the clinical trials pack is complete. UCLH is separate from any UCLH-sponsored feasibility study, which has its own file and is not part of this protocol. UCLH processes study data only on the sponsor’s documented instructions, under an agreement made under Article 28 of the UK General Data Protection Regulation (UK GDPR), which forms part of the site agreement. The site agreement will be the current unmodified model Clinical Investigation Agreement (mCIA version 6.0, August 2026). UCLH is a controller only for its own clinical or corporate records. Sleep and Health Clinic App Ltd (12467350) remains the sole sponsor and funder, owns all intellectual property and pays UCLH as a subcontracted site.</w:t>
      </w:r>
    </w:p>
    <w:p>
      <w:pPr>
        <w:pStyle w:val="BodyText"/>
      </w:pPr>
      <w:r>
        <w:t xml:space="preserve">The partner site receives only the identifiable data it needs for screening, consent and study conduct, and returns or destroys them at site close-out as the site agreement states.</w:t>
      </w:r>
    </w:p>
    <w:p>
      <w:pPr>
        <w:pStyle w:val="BodyText"/>
      </w:pPr>
      <w:r>
        <w:rPr>
          <w:b/>
          <w:bCs/>
        </w:rPr>
        <w:t xml:space="preserve">Rule 1: free text.</w:t>
      </w:r>
      <w:r>
        <w:t xml:space="preserve"> </w:t>
      </w:r>
      <w:r>
        <w:t xml:space="preserve">Identifiable free text stays within Sleep and Health Clinic App Ltd. Any free-text fields that are collected are reviewed and stripped of identifiers before an analysis file is shared.</w:t>
      </w:r>
    </w:p>
    <w:p>
      <w:pPr>
        <w:pStyle w:val="BodyText"/>
      </w:pPr>
      <w:r>
        <w:rPr>
          <w:b/>
          <w:bCs/>
        </w:rPr>
        <w:t xml:space="preserve">Rule 2: data notes.</w:t>
      </w:r>
      <w:r>
        <w:t xml:space="preserve"> </w:t>
      </w:r>
      <w:r>
        <w:t xml:space="preserve">Any transfer of study data from the sponsor to another party, including the partner site, the statistician or a vendor, requires a current data note approved by the sponsor before the transfer takes place. Earlier data-sharing notes do not cover this study.</w:t>
      </w:r>
    </w:p>
    <w:p>
      <w:pPr>
        <w:pStyle w:val="BodyText"/>
      </w:pPr>
      <w:r>
        <w:t xml:space="preserve">The data-protection impact of opening UCLH will be assessed in a completed DPIA before the site opens. A completed DPIA is an item owned by the sponsor that will be closed before the Chief Investigator signs.</w:t>
      </w:r>
    </w:p>
    <w:bookmarkEnd w:id="26"/>
    <w:bookmarkStart w:id="34" w:name="data-collection"/>
    <w:p>
      <w:pPr>
        <w:pStyle w:val="Heading2"/>
      </w:pPr>
      <w:r>
        <w:t xml:space="preserve">6. Data collection</w:t>
      </w:r>
    </w:p>
    <w:p>
      <w:pPr>
        <w:pStyle w:val="FirstParagraph"/>
      </w:pPr>
      <w:r>
        <w:t xml:space="preserve">This section describes how paired mornings are captured, so that Lazoo cannot pre-fill the CSD-M, and how total sleep time is derived.</w:t>
      </w:r>
    </w:p>
    <w:bookmarkStart w:id="27" w:name="order-of-capture"/>
    <w:p>
      <w:pPr>
        <w:pStyle w:val="Heading3"/>
      </w:pPr>
      <w:r>
        <w:t xml:space="preserve">Order of capture</w:t>
      </w:r>
    </w:p>
    <w:p>
      <w:pPr>
        <w:pStyle w:val="FirstParagraph"/>
      </w:pPr>
      <w:r>
        <w:t xml:space="preserve">Each morning the participant completes the CSD-M first and then Lazoo, in the same sitting. Training explains that going to bed (in_bed) and trying to sleep (sleep_attempt) are two different clock times. Completing Lazoo first is a deviation, and by default that morning cannot be evaluated for the primary endpoint.</w:t>
      </w:r>
    </w:p>
    <w:bookmarkEnd w:id="27"/>
    <w:bookmarkStart w:id="28" w:name="lazoo"/>
    <w:p>
      <w:pPr>
        <w:pStyle w:val="Heading3"/>
      </w:pPr>
      <w:r>
        <w:t xml:space="preserve">Lazoo</w:t>
      </w:r>
    </w:p>
    <w:p>
      <w:pPr>
        <w:pStyle w:val="FirstParagraph"/>
      </w:pPr>
      <w:r>
        <w:t xml:space="preserve">Participants make their entries on their own device, using the study code. The fields follow the data dictionary and the protocol’s construct map. Edits are allowed and are kept in an audit trail to which entries can only be added, recording who made each change, what changed and when, with the original value retained, in line with the ALCOA+ principles of data integrity (attributable, legible, contemporaneous, original and accurate, plus complete, consistent, enduring and available). The data are exported in JSON and CSV formats at close-out and whenever the Chief Investigator asks. Charts are never used in place of raw timestamps. The fields vitals.core_temp[], vitals.wearable[] and ai_event[] are reserved and empty in version 1.</w:t>
      </w:r>
    </w:p>
    <w:p>
      <w:pPr>
        <w:pStyle w:val="BodyText"/>
      </w:pPr>
      <w:r>
        <w:t xml:space="preserve">CSD-M field 15 (comments,</w:t>
      </w:r>
      <w:r>
        <w:t xml:space="preserve"> </w:t>
      </w:r>
      <w:r>
        <w:rPr>
          <w:rStyle w:val="VerbatimChar"/>
        </w:rPr>
        <w:t xml:space="preserve">notes</w:t>
      </w:r>
      <w:r>
        <w:t xml:space="preserve">) is not collected and is excluded from the case report form and the Lazoo export. The CSD-M licence terms are still to be confirmed. If the licence requires field 15, it would be kept with an instruction on the form (</w:t>
      </w:r>
      <w:r>
        <w:t xml:space="preserve">“Do not enter names, contact details or other identifying information; describe sleep only”</w:t>
      </w:r>
      <w:r>
        <w:t xml:space="preserve">), a limit of 200 characters, a redaction review at upload and the removal of identifiers from free text, and it would be covered in the DPIA.</w:t>
      </w:r>
    </w:p>
    <w:bookmarkEnd w:id="28"/>
    <w:bookmarkStart w:id="29" w:name="csd-m"/>
    <w:p>
      <w:pPr>
        <w:pStyle w:val="Heading3"/>
      </w:pPr>
      <w:r>
        <w:t xml:space="preserve">CSD-M</w:t>
      </w:r>
    </w:p>
    <w:p>
      <w:pPr>
        <w:pStyle w:val="FirstParagraph"/>
      </w:pPr>
      <w:r>
        <w:t xml:space="preserve">The source is a locked PDF or electronic form, uploaded electronically by the participant and carrying the study ID only, with no names, dates of birth or identifying free text. The licensed instrument will be used once the Carney industry licence has been filed. No paper copies are posted and no photographs are taken. Values are transcribed onto the daily construct page of the case report form by double entry, and discrepancies are logged and resolved before database lock.</w:t>
      </w:r>
    </w:p>
    <w:bookmarkEnd w:id="29"/>
    <w:bookmarkStart w:id="30" w:name="derived-quantities"/>
    <w:p>
      <w:pPr>
        <w:pStyle w:val="Heading3"/>
      </w:pPr>
      <w:r>
        <w:t xml:space="preserve">Derived quantities</w:t>
      </w:r>
    </w:p>
    <w:p>
      <w:pPr>
        <w:pStyle w:val="FirstParagraph"/>
      </w:pPr>
      <w:r>
        <w:t xml:space="preserve">Derived quantities are calculated on export or in the analysis file, and the raw clock times are stored as well.</w:t>
      </w:r>
    </w:p>
    <w:p>
      <w:pPr>
        <w:pStyle w:val="Compact"/>
        <w:numPr>
          <w:ilvl w:val="0"/>
          <w:numId w:val="1001"/>
        </w:numPr>
      </w:pPr>
      <w:r>
        <w:t xml:space="preserve">TWAK = out_of_bed − wake</w:t>
      </w:r>
    </w:p>
    <w:p>
      <w:pPr>
        <w:pStyle w:val="Compact"/>
        <w:numPr>
          <w:ilvl w:val="0"/>
          <w:numId w:val="1001"/>
        </w:numPr>
      </w:pPr>
      <w:r>
        <w:t xml:space="preserve">TST = (out_of_bed − sleep_attempt) − SOL − WASO − TWAK (PRIMARY; not CSD-M item 8)</w:t>
      </w:r>
    </w:p>
    <w:p>
      <w:pPr>
        <w:pStyle w:val="Compact"/>
        <w:numPr>
          <w:ilvl w:val="0"/>
          <w:numId w:val="1001"/>
        </w:numPr>
      </w:pPr>
      <w:r>
        <w:t xml:space="preserve">TIB = out_of_bed − in_bed</w:t>
      </w:r>
    </w:p>
    <w:p>
      <w:pPr>
        <w:pStyle w:val="Compact"/>
        <w:numPr>
          <w:ilvl w:val="0"/>
          <w:numId w:val="1001"/>
        </w:numPr>
      </w:pPr>
      <w:r>
        <w:t xml:space="preserve">SE = TST / TIB × 100</w:t>
      </w:r>
    </w:p>
    <w:p>
      <w:pPr>
        <w:pStyle w:val="Compact"/>
        <w:numPr>
          <w:ilvl w:val="0"/>
          <w:numId w:val="1001"/>
        </w:numPr>
      </w:pPr>
      <w:r>
        <w:t xml:space="preserve">sleep_onset = sleep_attempt + SOL</w:t>
      </w:r>
    </w:p>
    <w:p>
      <w:pPr>
        <w:pStyle w:val="FirstParagraph"/>
      </w:pPr>
      <w:r>
        <w:t xml:space="preserve">Total sleep time (TST) is the primary quantity; it is calculated as above and is not taken from CSD-M item 8. These formulas for total sleep time, sleep onset latency, wake after sleep onset and sleep efficiency are draft study arithmetic for this agreement study and are not a product claim. The sponsor will set the product measure separately.</w:t>
      </w:r>
    </w:p>
    <w:p>
      <w:pPr>
        <w:pStyle w:val="BodyText"/>
      </w:pPr>
      <w:r>
        <w:t xml:space="preserve">A paired morning can be evaluated for the primary endpoint when both diaries record sleep_attempt, sleep onset latency, wake after sleep onset, wake and out_of_bed, these are internally consistent, and total sleep time is at least zero. Naps are excluded from night-time total sleep time, and wake after sleep onset excludes the final waking.</w:t>
      </w:r>
    </w:p>
    <w:bookmarkEnd w:id="30"/>
    <w:bookmarkStart w:id="31" w:name="usability"/>
    <w:p>
      <w:pPr>
        <w:pStyle w:val="Heading3"/>
      </w:pPr>
      <w:r>
        <w:t xml:space="preserve">Usability</w:t>
      </w:r>
    </w:p>
    <w:p>
      <w:pPr>
        <w:pStyle w:val="FirstParagraph"/>
      </w:pPr>
      <w:r>
        <w:t xml:space="preserve">The System Usability Scale (Brooke, 1996) and three structured questions are recorded on the case report form on day 15. They are entered once, and no score is shown to the participant in the app as a clinical output.</w:t>
      </w:r>
    </w:p>
    <w:bookmarkEnd w:id="31"/>
    <w:bookmarkStart w:id="32" w:name="consent"/>
    <w:p>
      <w:pPr>
        <w:pStyle w:val="Heading3"/>
      </w:pPr>
      <w:r>
        <w:t xml:space="preserve">Consent</w:t>
      </w:r>
    </w:p>
    <w:p>
      <w:pPr>
        <w:pStyle w:val="FirstParagraph"/>
      </w:pPr>
      <w:r>
        <w:t xml:space="preserve">The version of the wording for each consent choice is stored. Withdrawal of consent choice 3 stops future research use, and the participant information sheet explains that a locked analysis set is not reopened. Consent choice 4 is off by default.</w:t>
      </w:r>
    </w:p>
    <w:bookmarkEnd w:id="32"/>
    <w:bookmarkStart w:id="33" w:name="electronic-case-report-form"/>
    <w:p>
      <w:pPr>
        <w:pStyle w:val="Heading3"/>
      </w:pPr>
      <w:r>
        <w:t xml:space="preserve">Electronic case report form</w:t>
      </w:r>
    </w:p>
    <w:p>
      <w:pPr>
        <w:pStyle w:val="FirstParagraph"/>
      </w:pPr>
      <w:r>
        <w:t xml:space="preserve">The default collection model is a paper case report form together with the Lazoo export. The supplier of any electronic case report form, and its validation, are still to be confirmed: [PLACEHOLDER: electronic case report form supplier, if one is used]. Validation would follow the MHRA</w:t>
      </w:r>
      <w:r>
        <w:t xml:space="preserve"> </w:t>
      </w:r>
      <w:r>
        <w:t xml:space="preserve">“GXP”</w:t>
      </w:r>
      <w:r>
        <w:t xml:space="preserve"> </w:t>
      </w:r>
      <w:r>
        <w:t xml:space="preserve">Data Integrity Guidance and Definitions (March 2018) and ICH E6(R3) on computerised systems, with 21 CFR Part 11 applied only where a submission in the United States is planned.</w:t>
      </w:r>
    </w:p>
    <w:bookmarkEnd w:id="33"/>
    <w:bookmarkEnd w:id="34"/>
    <w:bookmarkStart w:id="35" w:name="storage-and-security"/>
    <w:p>
      <w:pPr>
        <w:pStyle w:val="Heading2"/>
      </w:pPr>
      <w:r>
        <w:t xml:space="preserve">7. Storage and security</w:t>
      </w:r>
    </w:p>
    <w:p>
      <w:pPr>
        <w:pStyle w:val="FirstParagraph"/>
      </w:pPr>
      <w:r>
        <w:t xml:space="preserve">Identifiable files are kept on storage controlled by the sponsor, and the analysis file is pseudonymised.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Store</w:t>
            </w:r>
          </w:p>
        </w:tc>
        <w:tc>
          <w:tcPr/>
          <w:p>
            <w:pPr>
              <w:pStyle w:val="Compact"/>
            </w:pPr>
            <w:r>
              <w:t xml:space="preserve">Contents</w:t>
            </w:r>
          </w:p>
        </w:tc>
        <w:tc>
          <w:tcPr/>
          <w:p>
            <w:pPr>
              <w:pStyle w:val="Compact"/>
            </w:pPr>
            <w:r>
              <w:t xml:space="preserve">Access</w:t>
            </w:r>
          </w:p>
        </w:tc>
        <w:tc>
          <w:tcPr/>
          <w:p>
            <w:pPr>
              <w:pStyle w:val="Compact"/>
            </w:pPr>
            <w:r>
              <w:t xml:space="preserve">Status at 28 August 2026</w:t>
            </w:r>
          </w:p>
        </w:tc>
      </w:tr>
      <w:tr>
        <w:tc>
          <w:tcPr/>
          <w:p>
            <w:pPr>
              <w:pStyle w:val="Compact"/>
            </w:pPr>
            <w:r>
              <w:t xml:space="preserve">Drive or folder controlled by the sponsor (to be authorised)</w:t>
            </w:r>
          </w:p>
        </w:tc>
        <w:tc>
          <w:tcPr/>
          <w:p>
            <w:pPr>
              <w:pStyle w:val="Compact"/>
            </w:pPr>
            <w:r>
              <w:t xml:space="preserve">Identifiable case report form scans, electronic consent records, uploaded CSD-M PDFs, export receipts</w:t>
            </w:r>
          </w:p>
        </w:tc>
        <w:tc>
          <w:tcPr/>
          <w:p>
            <w:pPr>
              <w:pStyle w:val="Compact"/>
            </w:pPr>
            <w:r>
              <w:t xml:space="preserve">Chief Investigator, named delegates, archivist</w:t>
            </w:r>
          </w:p>
        </w:tc>
        <w:tc>
          <w:tcPr/>
          <w:p>
            <w:pPr>
              <w:pStyle w:val="Compact"/>
            </w:pPr>
            <w:r>
              <w:t xml:space="preserve">Long-term storage location not yet authorised; still to be confirmed (see the sponsor’s archiving procedure)</w:t>
            </w:r>
          </w:p>
        </w:tc>
      </w:tr>
      <w:tr>
        <w:tc>
          <w:tcPr/>
          <w:p>
            <w:pPr>
              <w:pStyle w:val="Compact"/>
            </w:pPr>
            <w:r>
              <w:t xml:space="preserve">Lazoo backend</w:t>
            </w:r>
          </w:p>
        </w:tc>
        <w:tc>
          <w:tcPr/>
          <w:p>
            <w:pPr>
              <w:pStyle w:val="Compact"/>
            </w:pPr>
            <w:r>
              <w:t xml:space="preserve">Pseudonymous account linked to the Prolific ID only (no email address, name or telephone number unless Prolific gives written approval and this plan is updated), diary, consent choices, audit trail</w:t>
            </w:r>
          </w:p>
        </w:tc>
        <w:tc>
          <w:tcPr/>
          <w:p>
            <w:pPr>
              <w:pStyle w:val="Compact"/>
            </w:pPr>
            <w:r>
              <w:t xml:space="preserve">Engineering staff on a need-to-know basis, and the Chief Investigator’s delegate</w:t>
            </w:r>
          </w:p>
        </w:tc>
        <w:tc>
          <w:tcPr/>
          <w:p>
            <w:pPr>
              <w:pStyle w:val="Compact"/>
            </w:pPr>
            <w:r>
              <w:t xml:space="preserve">Processor contract and data processing agreement not yet filed; still to be confirmed</w:t>
            </w:r>
          </w:p>
        </w:tc>
      </w:tr>
      <w:tr>
        <w:tc>
          <w:tcPr/>
          <w:p>
            <w:pPr>
              <w:pStyle w:val="Compact"/>
            </w:pPr>
            <w:r>
              <w:t xml:space="preserve">Analysis file</w:t>
            </w:r>
          </w:p>
        </w:tc>
        <w:tc>
          <w:tcPr/>
          <w:p>
            <w:pPr>
              <w:pStyle w:val="Compact"/>
            </w:pPr>
            <w:r>
              <w:t xml:space="preserve">Pseudonymised pairing of Lazoo and CSD-M constructs; derived total sleep time, sleep onset latency, wake after sleep onset, time in bed and sleep efficiency; System Usability Scale; free text stripped of identifiers</w:t>
            </w:r>
          </w:p>
        </w:tc>
        <w:tc>
          <w:tcPr/>
          <w:p>
            <w:pPr>
              <w:pStyle w:val="Compact"/>
            </w:pPr>
            <w:r>
              <w:t xml:space="preserve">Independent statistician (when appointed; working position, pending sponsor decision: not yet appointed) and Chief Investigator; shared only under a current data note</w:t>
            </w:r>
          </w:p>
        </w:tc>
        <w:tc>
          <w:tcPr/>
          <w:p>
            <w:pPr>
              <w:pStyle w:val="Compact"/>
            </w:pPr>
            <w:r>
              <w:t xml:space="preserve">Built at the first extract</w:t>
            </w:r>
          </w:p>
        </w:tc>
      </w:tr>
      <w:tr>
        <w:tc>
          <w:tcPr/>
          <w:p>
            <w:pPr>
              <w:pStyle w:val="Compact"/>
            </w:pPr>
            <w:r>
              <w:t xml:space="preserve">Clinical master file and trial master file (this set of documents)</w:t>
            </w:r>
          </w:p>
        </w:tc>
        <w:tc>
          <w:tcPr/>
          <w:p>
            <w:pPr>
              <w:pStyle w:val="Compact"/>
            </w:pPr>
            <w:r>
              <w:t xml:space="preserve">Protocol, data management plan, case report form template, logs; no bulk identifiable diaries in messaging tools</w:t>
            </w:r>
          </w:p>
        </w:tc>
        <w:tc>
          <w:tcPr/>
          <w:p>
            <w:pPr>
              <w:pStyle w:val="Compact"/>
            </w:pPr>
            <w:r>
              <w:t xml:space="preserve">Clinical master file manager, Chief Investigator, auditors, and the research ethics committee on request</w:t>
            </w:r>
          </w:p>
        </w:tc>
        <w:tc>
          <w:tcPr/>
          <w:p>
            <w:pPr>
              <w:pStyle w:val="Compact"/>
            </w:pPr>
            <w:r>
              <w:t xml:space="preserve">Open</w:t>
            </w:r>
          </w:p>
        </w:tc>
      </w:tr>
    </w:tbl>
    <w:p>
      <w:pPr>
        <w:pStyle w:val="BodyText"/>
      </w:pPr>
      <w:r>
        <w:t xml:space="preserve">The controller is Sleep and Health Clinic App Ltd. Sleep &amp; Health Clinic Ltd (08904119), the clinic registered with the Care Quality Commission, is a different company that shares a registered-office address. It is not the controller for this study, and by default it receives no identifiable exports from the study.</w:t>
      </w:r>
    </w:p>
    <w:p>
      <w:pPr>
        <w:pStyle w:val="BodyText"/>
      </w:pPr>
      <w:r>
        <w:t xml:space="preserve">Files that identify participants stay on storage controlled by the sponsor and are always sent by secure means, never by open email or messaging. Identifiable free text stays within the sponsor, and any outbound share needs a current data note (see section 5). Data reside in the UK by default, and any transfer outside the UK takes place only under a documented mechanism.</w:t>
      </w:r>
    </w:p>
    <w:p>
      <w:pPr>
        <w:pStyle w:val="BodyText"/>
      </w:pPr>
      <w:r>
        <w:t xml:space="preserve">The key used on the case report form and in exports is the participant ID. Consent is electronic, with identity attested through the Prolific ID. In this version the study records the participant ID only and collects no initials, names, dates of birth, telephone numbers, email addresses or NHS numbers.</w:t>
      </w:r>
    </w:p>
    <w:p>
      <w:pPr>
        <w:pStyle w:val="BodyText"/>
      </w:pPr>
      <w:r>
        <w:rPr>
          <w:b/>
          <w:bCs/>
        </w:rPr>
        <w:t xml:space="preserve">Back-up.</w:t>
      </w:r>
      <w:r>
        <w:t xml:space="preserve"> </w:t>
      </w:r>
      <w:r>
        <w:t xml:space="preserve">Back-up frequency and a restore test have still to be documented, and both will be in place before any identifiable data are collected: [PLACEHOLDER: back-up frequency and restore-test procedure].</w:t>
      </w:r>
    </w:p>
    <w:p>
      <w:pPr>
        <w:pStyle w:val="BodyText"/>
      </w:pPr>
      <w:r>
        <w:rPr>
          <w:b/>
          <w:bCs/>
        </w:rPr>
        <w:t xml:space="preserve">Access control and security measures.</w:t>
      </w:r>
      <w:r>
        <w:t xml:space="preserve"> </w:t>
      </w:r>
      <w:r>
        <w:t xml:space="preserve">[PLACEHOLDER: access-control, encryption and access-logging measures for each store, to be documented with the hosting provider]</w:t>
      </w:r>
    </w:p>
    <w:bookmarkEnd w:id="35"/>
    <w:bookmarkStart w:id="36" w:name="quality-control"/>
    <w:p>
      <w:pPr>
        <w:pStyle w:val="Heading2"/>
      </w:pPr>
      <w:r>
        <w:t xml:space="preserve">8. Quality control</w:t>
      </w:r>
    </w:p>
    <w:p>
      <w:pPr>
        <w:pStyle w:val="FirstParagraph"/>
      </w:pPr>
      <w:r>
        <w:t xml:space="preserve">The checks below support measurement agreement and are not aimed at diagnostic accuracy.</w:t>
      </w:r>
    </w:p>
    <w:p>
      <w:pPr>
        <w:pStyle w:val="Compact"/>
        <w:numPr>
          <w:ilvl w:val="0"/>
          <w:numId w:val="1002"/>
        </w:numPr>
      </w:pPr>
      <w:r>
        <w:rPr>
          <w:b/>
          <w:bCs/>
        </w:rPr>
        <w:t xml:space="preserve">Consent.</w:t>
      </w:r>
      <w:r>
        <w:t xml:space="preserve"> </w:t>
      </w:r>
      <w:r>
        <w:t xml:space="preserve">Every completer (100%) has consent choices 1 and 3, the version of the wording and the date recorded.</w:t>
      </w:r>
    </w:p>
    <w:p>
      <w:pPr>
        <w:pStyle w:val="Compact"/>
        <w:numPr>
          <w:ilvl w:val="0"/>
          <w:numId w:val="1002"/>
        </w:numPr>
      </w:pPr>
      <w:r>
        <w:rPr>
          <w:b/>
          <w:bCs/>
        </w:rPr>
        <w:t xml:space="preserve">Pairing log.</w:t>
      </w:r>
      <w:r>
        <w:t xml:space="preserve"> </w:t>
      </w:r>
      <w:r>
        <w:t xml:space="preserve">Every morning is coded as able to be evaluated or not, with a deviation code where needed.</w:t>
      </w:r>
    </w:p>
    <w:p>
      <w:pPr>
        <w:pStyle w:val="Compact"/>
        <w:numPr>
          <w:ilvl w:val="0"/>
          <w:numId w:val="1002"/>
        </w:numPr>
      </w:pPr>
      <w:r>
        <w:rPr>
          <w:b/>
          <w:bCs/>
        </w:rPr>
        <w:t xml:space="preserve">CSD-M transcription.</w:t>
      </w:r>
      <w:r>
        <w:t xml:space="preserve"> </w:t>
      </w:r>
      <w:r>
        <w:t xml:space="preserve">Double entry is completed and the discrepancy log closed before database lock.</w:t>
      </w:r>
    </w:p>
    <w:p>
      <w:pPr>
        <w:pStyle w:val="Compact"/>
        <w:numPr>
          <w:ilvl w:val="0"/>
          <w:numId w:val="1002"/>
        </w:numPr>
      </w:pPr>
      <w:r>
        <w:rPr>
          <w:b/>
          <w:bCs/>
        </w:rPr>
        <w:t xml:space="preserve">Lazoo.</w:t>
      </w:r>
      <w:r>
        <w:t xml:space="preserve"> </w:t>
      </w:r>
      <w:r>
        <w:t xml:space="preserve">The export contains raw timestamps; in_bed is distinct from sleep_attempt; edits carry an audit trail; and the reserved fields of version 1 are empty.</w:t>
      </w:r>
    </w:p>
    <w:p>
      <w:pPr>
        <w:pStyle w:val="Compact"/>
        <w:numPr>
          <w:ilvl w:val="0"/>
          <w:numId w:val="1002"/>
        </w:numPr>
      </w:pPr>
      <w:r>
        <w:rPr>
          <w:b/>
          <w:bCs/>
        </w:rPr>
        <w:t xml:space="preserve">Derived total sleep time.</w:t>
      </w:r>
      <w:r>
        <w:t xml:space="preserve"> </w:t>
      </w:r>
      <w:r>
        <w:t xml:space="preserve">Total sleep time is recomputed independently from the raw clock times in the analysis file. Any total sleep time pre-computed by the app, if one were ever present, is not relied on; version 1 is not expected to display a clinical score.</w:t>
      </w:r>
    </w:p>
    <w:p>
      <w:pPr>
        <w:pStyle w:val="Compact"/>
        <w:numPr>
          <w:ilvl w:val="0"/>
          <w:numId w:val="1002"/>
        </w:numPr>
      </w:pPr>
      <w:r>
        <w:rPr>
          <w:b/>
          <w:bCs/>
        </w:rPr>
        <w:t xml:space="preserve">Range checks.</w:t>
      </w:r>
      <w:r>
        <w:t xml:space="preserve"> </w:t>
      </w:r>
      <w:r>
        <w:t xml:space="preserve">Sleep onset latency, wake after sleep onset and time awake after final waking are each at least zero; out_of_bed ≥ wake ≥ sleep_attempt; time in bed is greater than zero for sleep efficiency; and total sleep time below zero or above time in bed is flagged for a query. These queries are data queries and are never shown to the participant as clinical flags.</w:t>
      </w:r>
    </w:p>
    <w:p>
      <w:pPr>
        <w:pStyle w:val="Compact"/>
        <w:numPr>
          <w:ilvl w:val="0"/>
          <w:numId w:val="1002"/>
        </w:numPr>
      </w:pPr>
      <w:r>
        <w:rPr>
          <w:b/>
          <w:bCs/>
        </w:rPr>
        <w:t xml:space="preserve">System Usability Scale.</w:t>
      </w:r>
      <w:r>
        <w:t xml:space="preserve"> </w:t>
      </w:r>
      <w:r>
        <w:t xml:space="preserve">All 10 items are present, or the missing items are explained; the score is calculated centrally.</w:t>
      </w:r>
    </w:p>
    <w:p>
      <w:pPr>
        <w:pStyle w:val="Compact"/>
        <w:numPr>
          <w:ilvl w:val="0"/>
          <w:numId w:val="1002"/>
        </w:numPr>
      </w:pPr>
      <w:r>
        <w:rPr>
          <w:b/>
          <w:bCs/>
        </w:rPr>
        <w:t xml:space="preserve">App version.</w:t>
      </w:r>
      <w:r>
        <w:t xml:space="preserve"> </w:t>
      </w:r>
      <w:r>
        <w:t xml:space="preserve">The app version on each export matches the version recorded in the software version log. That version is still to be confirmed.</w:t>
      </w:r>
    </w:p>
    <w:p>
      <w:pPr>
        <w:pStyle w:val="FirstParagraph"/>
      </w:pPr>
      <w:r>
        <w:rPr>
          <w:b/>
          <w:bCs/>
        </w:rPr>
        <w:t xml:space="preserve">Database lock.</w:t>
      </w:r>
      <w:r>
        <w:t xml:space="preserve"> </w:t>
      </w:r>
      <w:r>
        <w:t xml:space="preserve">The Chief Investigator and the data manager, once named, sign to confirm that pairing, transcription and export receipts are complete. The database is unlocked only with a reason recorded in a file note.</w:t>
      </w:r>
    </w:p>
    <w:p>
      <w:pPr>
        <w:pStyle w:val="BodyText"/>
      </w:pPr>
      <w:r>
        <w:t xml:space="preserve">Quality control is aimed at accurate transcription and never at</w:t>
      </w:r>
      <w:r>
        <w:t xml:space="preserve"> </w:t>
      </w:r>
      <w:r>
        <w:t xml:space="preserve">“correcting”</w:t>
      </w:r>
      <w:r>
        <w:t xml:space="preserve"> </w:t>
      </w:r>
      <w:r>
        <w:t xml:space="preserve">diaries towards a diagnosis. Queries are resolved against the source, meaning the participant’s worksheet or the Lazoo audit trail, and never through a clinician’s interpretation.</w:t>
      </w:r>
    </w:p>
    <w:bookmarkEnd w:id="36"/>
    <w:bookmarkStart w:id="37" w:name="data-protection-uk-gdpr"/>
    <w:p>
      <w:pPr>
        <w:pStyle w:val="Heading2"/>
      </w:pPr>
      <w:r>
        <w:t xml:space="preserve">9. Data protection (UK GDPR)</w:t>
      </w:r>
    </w:p>
    <w:p>
      <w:pPr>
        <w:pStyle w:val="FirstParagraph"/>
      </w:pPr>
      <w:r>
        <w:t xml:space="preserve">This section states the controller, the intended lawful basis and the outstanding gaps in the DPIA and the appointment of the Data Protection Officer.</w:t>
      </w:r>
    </w:p>
    <w:p>
      <w:pPr>
        <w:pStyle w:val="FirstParagraph"/>
      </w:pPr>
      <w:r>
        <w:t xml:space="preserve">Dated note, 30 October 2026: the Data Protection Officer is Martin Hickley.</w:t>
      </w:r>
    </w:p>
    <w:p>
      <w:pPr>
        <w:pStyle w:val="BodyText"/>
      </w:pPr>
      <w:r>
        <w:t xml:space="preserve">The controller is Sleep and Health Clinic App Ltd (12467350), 32 Watford Road, Northwood HA6 3NT. Contact: admin@sleepandhealth.org.</w:t>
      </w:r>
    </w:p>
    <w:p>
      <w:pPr>
        <w:pStyle w:val="BodyText"/>
      </w:pPr>
      <w:r>
        <w:t xml:space="preserve">The content of a sleep diary may be special category health data. The intended purpose is insomnia monitoring only, as decided by the sponsor on 13 October 2026, and the sponsor will confirm the wording of any clinical claims.</w:t>
      </w:r>
    </w:p>
    <w:p>
      <w:pPr>
        <w:pStyle w:val="BodyText"/>
      </w:pPr>
      <w:r>
        <w:rPr>
          <w:b/>
          <w:bCs/>
        </w:rPr>
        <w:t xml:space="preserve">Proposed lawful basis.</w:t>
      </w:r>
      <w:r>
        <w:t xml:space="preserve"> </w:t>
      </w:r>
      <w:r>
        <w:t xml:space="preserve">The working position, pending the sponsor’s decision, is legitimate interests, proposed, with the Data Protection Officer to confirm. The basis is UK GDPR Article 6(1)(f) (legitimate interests), with Article 9(2)(j) and the Data Protection Act 2018, Schedule 1, paragraph 4 (research) for special category health data. The DPIA and the participant information sheet will be updated to match. Consent to take part, including consent choice 3, remains the ethical and common-law safeguard. As a private company, the sponsor will rely on legitimate interests rather than assume the Article 6(1)(e) public-task basis. Care provided at Sleep &amp; Health Clinic Ltd is a different processing purpose with a different controller.</w:t>
      </w:r>
    </w:p>
    <w:p>
      <w:pPr>
        <w:pStyle w:val="BodyText"/>
      </w:pPr>
      <w:r>
        <w:rPr>
          <w:b/>
          <w:bCs/>
        </w:rPr>
        <w:t xml:space="preserve">Dated note, 30 October 2026: the Data Protection Officer is Martin Hickley.</w:t>
      </w:r>
    </w:p>
    <w:p>
      <w:pPr>
        <w:pStyle w:val="BodyText"/>
      </w:pPr>
      <w:r>
        <w:rPr>
          <w:b/>
          <w:bCs/>
        </w:rPr>
        <w:t xml:space="preserve">Addition, 24 October 2026 (heart rate, pending LAZ-IP-001-AMD-01).</w:t>
      </w:r>
      <w:r>
        <w:t xml:space="preserve"> </w:t>
      </w:r>
      <w:r>
        <w:t xml:space="preserve">The research basis above is unchanged. If heart rate is added to Lazoo, processing of heart rate within the product rests on consent under UK GDPR Article 6(1)(a), with explicit consent under Article 9(2)(a), separate from the research basis. Any research processing is subject to the safeguards in UK GDPR Articles 84A to 84D, which go with the research condition in Article 9(2)(j) and the Data Protection Act 2018, Schedule 1, paragraph 4. LAZ-VAL-001 collects no heart rate: protocol version 0.5 includes no wearable data, and the case report form keeps the wearable field empty. Data protection for heart rate in Lazoo is assessed in the draft data protection impact assessment CBT-14-HR-DPIA-2026-10-24, version 0.2 (/workspace/out/governance-2026-10-24/CBT-14-HR-DPIA-2026-10-24.md, sha256 ba0e21101aaf89547e5ba3959e20a60a4a55eae10db7e34aa6e71f587477cdc5), prepared by the Research Governance Manager of Sleep and Health Clinic App Ltd on 24 October 2026. Heart rate from CBT-14 is not processed for any real user until that assessment has been reviewed by Compliance and signed off.</w:t>
      </w:r>
    </w:p>
    <w:p>
      <w:pPr>
        <w:pStyle w:val="BodyText"/>
      </w:pPr>
      <w:r>
        <w:rPr>
          <w:b/>
          <w:bCs/>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BodyText"/>
      </w:pPr>
      <w:r>
        <w:t xml:space="preserve">Dated note, 24 October 2026: the one exception is records needed for post-market surveillance and vigilance, which rest on legal obligation under Article 6(1)(c) with public health under Article 9(2)(i) (Data Protection Act 2018, Schedule 1, paragraph 3), as set out in CBT-14-HR-DPIA-2026-10-24, version 0.2, and LAZ-DPIA-001.</w:t>
      </w:r>
    </w:p>
    <w:p>
      <w:pPr>
        <w:pStyle w:val="BodyText"/>
      </w:pPr>
      <w:r>
        <w:t xml:space="preserve">Dated note, 24 October 2026 (round 6): the CBT-14 heart rate data protection impact assessment to cite now is CBT-14-HR-DPIA-2026-10-24, version 0.5.1: /workspace/out/governance-2026-10-24/CBT-14-HR-DPIA-v0.5.1-2026-10-24.md (sha256 41861d51f52ac2ff729ca0daffa39eb94f7d5c6486f0957d39f87fb7f49f53ea), with its Word copy /workspace/out/governance-2026-10-24/CBT-14-HR-DPIA-v0.5.1-2026-10-24.docx (sha256 c5b924fbec1eb8c957b14f15e7525e18c2a3204eecc55d9aa817205856e3cc2d). Version 0.5.1 has been passed by Compliance as a draft for sign-off, not approved, with sign-off pending Sara’s 25 October answers (Compliance re-check of about 17:42 London time, /workspace/compliance-reports/cbt14-hr-dpia-gate-2026-10-24.md). It is the dated cross-reference that version 0.5.1 asks for beside the heart rate addition and the note above, which cite version 0.2 and are kept as recorded. In Lazoo, version 0.5.1 recommends that the same consent basis also covers the core body temperature estimate, the circadian analysis and the pregnancy setting (its section 5); LAZ-VAL-001 collects none of these, and LAZ-VAL-001 itself is unchanged.</w:t>
      </w:r>
    </w:p>
    <w:p>
      <w:pPr>
        <w:pStyle w:val="BodyText"/>
      </w:pPr>
      <w:r>
        <w:rPr>
          <w:b/>
          <w:bCs/>
        </w:rPr>
        <w:t xml:space="preserve">Outstanding items.</w:t>
      </w:r>
      <w:r>
        <w:t xml:space="preserve"> </w:t>
      </w:r>
      <w:r>
        <w:t xml:space="preserve">The DPIA has not yet been completed, the Data Protection Officer has not yet been named, and the processor contracts (for hosting, for UCLH and for any supplier of an electronic case report form) have not yet been filed. Prolific acts as an independent controller of its account data and needs no data processing agreement; its terms will be reviewed and recorded. Identifiable data collection will start only once these are in place. Before the Chief Investigator signs, the sponsor will close the four items it owns: the recorded review of Prolific’s terms, a dated copy of those terms on file, a completed DPIA and a recorded regulation 16 decision.</w:t>
      </w:r>
    </w:p>
    <w:p>
      <w:pPr>
        <w:pStyle w:val="BodyText"/>
      </w:pPr>
      <w:r>
        <w:rPr>
          <w:b/>
          <w:bCs/>
        </w:rPr>
        <w:t xml:space="preserve">Dated note, 30 October 2026: the Data Protection Officer is Martin Hickley.</w:t>
      </w:r>
    </w:p>
    <w:p>
      <w:pPr>
        <w:pStyle w:val="BodyText"/>
      </w:pPr>
      <w:r>
        <w:rPr>
          <w:b/>
          <w:bCs/>
        </w:rPr>
        <w:t xml:space="preserve">Rights.</w:t>
      </w:r>
      <w:r>
        <w:t xml:space="preserve"> </w:t>
      </w:r>
      <w:r>
        <w:t xml:space="preserve">Participants can exercise their rights of access and rectification through admin@sleepandhealth.org. Withdrawal of consent choice 3 stops future research use; data already in a locked analysis set cannot be withdrawn, and the participant information sheet will say so in plain language. Withdrawal of consent choice 1 means stopping use of the app, and local deletion or export is offered as far as the live app allows.</w:t>
      </w:r>
    </w:p>
    <w:p>
      <w:pPr>
        <w:pStyle w:val="BodyText"/>
      </w:pPr>
      <w:r>
        <w:rPr>
          <w:b/>
          <w:bCs/>
        </w:rPr>
        <w:t xml:space="preserve">Future use.</w:t>
      </w:r>
      <w:r>
        <w:t xml:space="preserve"> </w:t>
      </w:r>
      <w:r>
        <w:t xml:space="preserve">Consent choice 4 (future clinical tools or models) is off for this study unless an amendment says otherwise. NHS data that identify patients are not collected. A future model will be trained on these data only with consent choice 4, a protocol that says so, and ethics approval.</w:t>
      </w:r>
    </w:p>
    <w:p>
      <w:pPr>
        <w:pStyle w:val="BodyText"/>
      </w:pPr>
      <w:r>
        <w:t xml:space="preserve">The privacy and controller contact is the sponsor’s study address, admin@sleepandhealth.org, rather than an NHS or clinic Patient Advice and Liaison Service line or a personal email account.</w:t>
      </w:r>
    </w:p>
    <w:p>
      <w:pPr>
        <w:pStyle w:val="BodyText"/>
      </w:pPr>
      <w:r>
        <w:t xml:space="preserve">UCLH’s intended role as processor and the rules for outbound sharing are set out in section 5.</w:t>
      </w:r>
    </w:p>
    <w:bookmarkEnd w:id="37"/>
    <w:bookmarkStart w:id="38" w:name="retention-archiving-and-destruction"/>
    <w:p>
      <w:pPr>
        <w:pStyle w:val="Heading2"/>
      </w:pPr>
      <w:r>
        <w:t xml:space="preserve">10. Retention, archiving and destruction</w:t>
      </w:r>
    </w:p>
    <w:p>
      <w:pPr>
        <w:pStyle w:val="FirstParagraph"/>
      </w:pPr>
      <w:r>
        <w:t xml:space="preserve">This section sets retention periods that match the sponsor’s standard operating procedure for the clinical master file, without importing by default the 25-year period that applies to clinical trials of investigational medicinal products.</w:t>
      </w:r>
    </w:p>
    <w:p>
      <w:pPr>
        <w:pStyle w:val="BodyText"/>
      </w:pPr>
      <w:r>
        <w:t xml:space="preserve">Essential records, meaning the protocol, the participant information sheet and consent form, the case report form, the exports as archived, the data management plan, the approvals and, once held, the insurance certificate, are kept for at least 10 years after the signed study report, or longer if a licence contract or the research ethics committee requires it.</w:t>
      </w:r>
    </w:p>
    <w:p>
      <w:pPr>
        <w:pStyle w:val="BodyText"/>
      </w:pPr>
      <w:r>
        <w:t xml:space="preserve">Participant-level research data are kept for the period stated in the participant information sheet and the DPIA. The default is 10 years, unless the DPIA sets a shorter or longer period.</w:t>
      </w:r>
    </w:p>
    <w:p>
      <w:pPr>
        <w:pStyle w:val="BodyText"/>
      </w:pPr>
      <w:r>
        <w:t xml:space="preserve">This is not a clinical trial of an investigational medicinal product, so the 25-year statutory period for its trial master file does not apply by default.</w:t>
      </w:r>
    </w:p>
    <w:p>
      <w:pPr>
        <w:pStyle w:val="BodyText"/>
      </w:pPr>
      <w:r>
        <w:t xml:space="preserve">At the end of the retention period, the Chief Investigator and the archivist record what has been destroyed. Consent records are kept at least as long as the data they relate to.</w:t>
      </w:r>
    </w:p>
    <w:p>
      <w:pPr>
        <w:pStyle w:val="BodyText"/>
      </w:pPr>
      <w:r>
        <w:t xml:space="preserve">There is one product, and this study is not rewritten into a second file. Nothing in this plan is frozen, and it remains a working draft with open items to be confirmed. No artificial intelligence validation report or clinical evaluation report is archived against this plan.</w:t>
      </w:r>
    </w:p>
    <w:p>
      <w:pPr>
        <w:pStyle w:val="BodyText"/>
      </w:pPr>
      <w:r>
        <w:t xml:space="preserve">A named archivist is still to be appointed, and the Chief Investigator holds the duty until then. A durable storage location is still to be authorised. The research insurance certificate is still to be filed, and its retention period starts when it exists. [PLACEHOLDER: named archivist and authorised archive location]</w:t>
      </w:r>
    </w:p>
    <w:p>
      <w:pPr>
        <w:pStyle w:val="BodyText"/>
      </w:pPr>
      <w:r>
        <w:t xml:space="preserve">End of data management plan LAZ-VAL-001, version 0.4 (12 October 2026).</w:t>
      </w:r>
    </w:p>
    <w:bookmarkEnd w:id="38"/>
    <w:bookmarkEnd w:id="39"/>
    <w:sectPr>
      <w:headerReference w:type="default" r:id="rId9"/>
      <w:footerReference w:type="default" r:id="rId10"/>
      <w:headerReference w:type="first" r:id="rId11"/>
      <w:footerReference w:type="first" r:id="rId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2026-10-24T16:47:51Z</dcterms:created>
  <dcterms:modified xsi:type="dcterms:W3CDTF">2026-10-24T16:47:51Z</dcterms:modified>
</cp:coreProperties>
</file>

<file path=docProps/custom.xml><?xml version="1.0" encoding="utf-8"?>
<Properties xmlns="http://schemas.openxmlformats.org/officeDocument/2006/custom-properties" xmlns:vt="http://schemas.openxmlformats.org/officeDocument/2006/docPropsVTypes"/>
</file>