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r>
        <w:rPr>
          <w:b/>
        </w:rPr>
        <w:t>Dated note, 29 October 2026: the heart-rate amendment draft is now LAZ-VAL-001-protocol-v0.6-heart-rate-amendment-DRAFT (sha256 1e7c64107ec60091f0dc0d06a1bc946363812498bac9319e18ae5c72f03865e0). An earlier draft (058b7a99) was lost and is superseded. Version 0.5 remains in force.</w:t>
      </w:r>
    </w:p>
    <w:p>
      <w:pPr/>
      <w:r>
        <w:rPr>
          <w:b/>
        </w:rPr>
        <w:t>Dated note, 29 October 2026: the version 0.6 draft now carries a pointer to impact assessment version 0.5.3, and its current Markdown and Word hashes replace those given above. The Markdown hash is e52f4a9b8ea6583a662198b09c70a04b0b14ec5b11ed12f97e922902392ab8e5 and the Word hash is af676b1f02d2688cf4b8955db4b3f776aed4d6044f1e4da0f7f55bc24e98b061.</w:t>
      </w:r>
    </w:p>
    <w:p>
      <w:pPr/>
      <w:r>
        <w:rPr>
          <w:b/>
        </w:rPr>
        <w:t>Dated note, 29 October 2026, later the same day: the version 0.6 draft now also records that impact assessment version 0.5.3 has been passed as an unsigned draft, and its current Markdown and Word hashes replace those given above. The Markdown hash is 5d994cd0a07794e2ff1a3e44cd33ead439d41872c2451e68095bf030946bb916 and the Word hash is dfd092bdfd1e0ea0d5c4c0aa43cecde14397487b9f7ad2e5aa949be587defed2.</w:t>
      </w:r>
    </w:p>
    <w:bookmarkStart w:id="124"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rPr>
          <w:b/>
          <w:bCs/>
        </w:rPr>
        <w:t xml:space="preserve">Clinical Research Protocol, Sleep and Health Clinic App Ltd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LAZ-VAL-001-protocol</w:t>
            </w:r>
          </w:p>
        </w:tc>
      </w:tr>
      <w:tr>
        <w:tc>
          <w:tcPr/>
          <w:p>
            <w:pPr>
              <w:pStyle w:val="Compact"/>
            </w:pPr>
            <w:r>
              <w:rPr>
                <w:b/>
                <w:bCs/>
              </w:rPr>
              <w:t xml:space="preserve">Study ID</w:t>
            </w:r>
          </w:p>
        </w:tc>
        <w:tc>
          <w:tcPr/>
          <w:p>
            <w:pPr>
              <w:pStyle w:val="Compact"/>
            </w:pPr>
            <w:r>
              <w:t xml:space="preserve">LAZ-VAL-001</w:t>
            </w:r>
          </w:p>
        </w:tc>
      </w:tr>
      <w:tr>
        <w:tc>
          <w:tcPr/>
          <w:p>
            <w:pPr>
              <w:pStyle w:val="Compact"/>
            </w:pPr>
            <w:r>
              <w:rPr>
                <w:b/>
                <w:bCs/>
              </w:rPr>
              <w:t xml:space="preserve">Version</w:t>
            </w:r>
          </w:p>
        </w:tc>
        <w:tc>
          <w:tcPr/>
          <w:p>
            <w:pPr>
              <w:pStyle w:val="Compact"/>
            </w:pPr>
            <w:r>
              <w:t xml:space="preserve">0.5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t xml:space="preserve">Sleep and Health Clinic App Ltd (company number 12467350)</w:t>
            </w:r>
          </w:p>
        </w:tc>
      </w:tr>
      <w:tr>
        <w:tc>
          <w:tcPr/>
          <w:p>
            <w:pPr>
              <w:pStyle w:val="Compact"/>
            </w:pPr>
            <w:r>
              <w:rPr>
                <w:b/>
                <w:bCs/>
              </w:rPr>
              <w:t xml:space="preserve">Status</w:t>
            </w:r>
          </w:p>
        </w:tc>
        <w:tc>
          <w:tcPr/>
          <w:p>
            <w:pPr>
              <w:pStyle w:val="Compact"/>
            </w:pPr>
            <w:r>
              <w:t xml:space="preserve">Draft for governance review, Chief Investigator review and sponsor sign-off. Not yet signed by the Chief Investigator and not yet for submission through the Integrated Research Application System (IRAS).</w:t>
            </w:r>
          </w:p>
        </w:tc>
      </w:tr>
    </w:tbl>
    <w:p>
      <w:pPr>
        <w:pStyle w:val="BodyText"/>
      </w:pPr>
      <w:r>
        <w:rPr>
          <w:b/>
          <w:bCs/>
        </w:rPr>
        <w:t xml:space="preserve">Confidentiality.</w:t>
      </w:r>
      <w:r>
        <w:t xml:space="preserve"> </w:t>
      </w:r>
      <w:r>
        <w:t xml:space="preserve">This protocol contains confidential and proprietary information belonging to Sleep and Health Clinic App Ltd.</w:t>
      </w:r>
    </w:p>
    <w:p>
      <w:pPr>
        <w:pStyle w:val="BodyText"/>
      </w:pPr>
      <w:r>
        <w:rPr>
          <w:b/>
          <w:bCs/>
        </w:rPr>
        <w:t xml:space="preserve">Conditions for use of this draft.</w:t>
      </w:r>
      <w:r>
        <w:t xml:space="preserve"> </w:t>
      </w:r>
      <w:r>
        <w:t xml:space="preserve">Enrolment will begin only after the protocol has been approved and signed. The protocol will be submitted for ethics review once the items marked</w:t>
      </w:r>
      <w:r>
        <w:t xml:space="preserve"> </w:t>
      </w:r>
      <w:r>
        <w:t xml:space="preserve">“to be confirmed”</w:t>
      </w:r>
      <w:r>
        <w:t xml:space="preserve"> </w:t>
      </w:r>
      <w:r>
        <w:t xml:space="preserve">in the approvals and contracts sections, and the sponsor documents listed in Appendix O, have been closed. Before the Chief Investigator signs,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and a recorded decision under regulation 16 of the UK Medical Devices Regulations 2002.</w:t>
      </w:r>
    </w:p>
    <w:p>
      <w:pPr>
        <w:pStyle w:val="BodyText"/>
      </w:pPr>
      <w:r>
        <w:rPr>
          <w:b/>
          <w:bCs/>
        </w:rPr>
        <w:t xml:space="preserve">Draft intended-purpose position</w:t>
      </w:r>
      <w:r>
        <w:t xml:space="preserve"> </w:t>
      </w:r>
      <w:r>
        <w:t xml:space="preserve">(draft agreed on 11 October 2026 and updated by the sponsor’s decision of 13 October 2026; the final wording will be locked in the controlled intended purpose statement and is subject to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It measures no diagnostic accuracy and makes no clinical claim (see section 3, Intended-Purpose Alignment).</w:t>
      </w:r>
    </w:p>
    <w:bookmarkStart w:id="20" w:name="decisions-for-the-sponsor"/>
    <w:p>
      <w:pPr>
        <w:pStyle w:val="Heading2"/>
      </w:pPr>
      <w:r>
        <w:t xml:space="preserve">Decisions for the sponsor</w:t>
      </w:r>
    </w:p>
    <w:p>
      <w:pPr>
        <w:pStyle w:val="FirstParagraph"/>
      </w:pPr>
      <w:r>
        <w:t xml:space="preserve">The following decisions rest with Dr Sara McNeillis as Chief Executive of the sponsor and are recorded here so that every reviewer can see them.</w:t>
      </w:r>
    </w:p>
    <w:p>
      <w:pPr>
        <w:pStyle w:val="Compact"/>
        <w:numPr>
          <w:ilvl w:val="0"/>
          <w:numId w:val="1001"/>
        </w:numPr>
      </w:pPr>
      <w:r>
        <w:rPr>
          <w:b/>
          <w:bCs/>
        </w:rPr>
        <w:t xml:space="preserve">Chief Investigator.</w:t>
      </w:r>
      <w:r>
        <w:t xml:space="preserve"> </w:t>
      </w:r>
      <w:r>
        <w:t xml:space="preserve">Dr Sara McNeillis is proposed as Chief Investigator. Because she is also a director of the sponsor, this arrangement will work only when an independent statistician, an independent oversight member and a sponsor signatory other than Dr Sara McNeillis are all in place. None of the three has yet been appointed.</w:t>
      </w:r>
    </w:p>
    <w:p>
      <w:pPr>
        <w:pStyle w:val="Compact"/>
        <w:numPr>
          <w:ilvl w:val="0"/>
          <w:numId w:val="1001"/>
        </w:numPr>
      </w:pPr>
      <w:r>
        <w:rPr>
          <w:b/>
          <w:bCs/>
        </w:rPr>
        <w:t xml:space="preserve">Clinical-investigation determination.</w:t>
      </w:r>
      <w:r>
        <w:t xml:space="preserve"> </w:t>
      </w:r>
      <w:r>
        <w:t xml:space="preserve">The sponsor will decide whether to accept the reasoning in section 16 that notice to the Medicines and Healthcare products Regulatory Agency (MHRA) under regulation 16 and a favourable research ethics committee opinion are likely to be needed, and will record that decision as the regulation 16 decision.</w:t>
      </w:r>
    </w:p>
    <w:bookmarkEnd w:id="20"/>
    <w:bookmarkStart w:id="21" w:name="research-reference-numbers"/>
    <w:p>
      <w:pPr>
        <w:pStyle w:val="Heading2"/>
      </w:pPr>
      <w:r>
        <w:t xml:space="preserve">Research reference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Number</w:t>
            </w:r>
          </w:p>
        </w:tc>
      </w:tr>
      <w:tr>
        <w:tc>
          <w:tcPr/>
          <w:p>
            <w:pPr>
              <w:pStyle w:val="Compact"/>
            </w:pPr>
            <w:r>
              <w:t xml:space="preserve">Protocol number</w:t>
            </w:r>
          </w:p>
        </w:tc>
        <w:tc>
          <w:tcPr/>
          <w:p>
            <w:pPr>
              <w:pStyle w:val="Compact"/>
            </w:pPr>
            <w:r>
              <w:t xml:space="preserve">LAZ-VAL-001</w:t>
            </w:r>
          </w:p>
        </w:tc>
      </w:tr>
      <w:tr>
        <w:tc>
          <w:tcPr/>
          <w:p>
            <w:pPr>
              <w:pStyle w:val="Compact"/>
            </w:pPr>
            <w:r>
              <w:t xml:space="preserve">IRAS ID</w:t>
            </w:r>
          </w:p>
        </w:tc>
        <w:tc>
          <w:tcPr/>
          <w:p>
            <w:pPr>
              <w:pStyle w:val="Compact"/>
            </w:pPr>
            <w:r>
              <w:t xml:space="preserve">[PLACEHOLDER: IRAS ID, issued when the IRAS form is created]</w:t>
            </w:r>
          </w:p>
        </w:tc>
      </w:tr>
      <w:tr>
        <w:tc>
          <w:tcPr/>
          <w:p>
            <w:pPr>
              <w:pStyle w:val="Compact"/>
            </w:pPr>
            <w:r>
              <w:t xml:space="preserve">Research Ethics Committee reference</w:t>
            </w:r>
          </w:p>
        </w:tc>
        <w:tc>
          <w:tcPr/>
          <w:p>
            <w:pPr>
              <w:pStyle w:val="Compact"/>
            </w:pPr>
            <w:r>
              <w:t xml:space="preserve">[PLACEHOLDER: REC reference, issued on submission]</w:t>
            </w:r>
          </w:p>
        </w:tc>
      </w:tr>
      <w:tr>
        <w:tc>
          <w:tcPr/>
          <w:p>
            <w:pPr>
              <w:pStyle w:val="Compact"/>
            </w:pPr>
            <w:r>
              <w:t xml:space="preserve">Public registry number (ISRCTN or equivalent)</w:t>
            </w:r>
          </w:p>
        </w:tc>
        <w:tc>
          <w:tcPr/>
          <w:p>
            <w:pPr>
              <w:pStyle w:val="Compact"/>
            </w:pPr>
            <w:r>
              <w:t xml:space="preserve">[PLACEHOLDER: registry number, to be obtained before the first participant]</w:t>
            </w:r>
          </w:p>
        </w:tc>
      </w:tr>
      <w:tr>
        <w:tc>
          <w:tcPr/>
          <w:p>
            <w:pPr>
              <w:pStyle w:val="Compact"/>
            </w:pPr>
            <w:r>
              <w:t xml:space="preserve">Funder’s reference</w:t>
            </w:r>
          </w:p>
        </w:tc>
        <w:tc>
          <w:tcPr/>
          <w:p>
            <w:pPr>
              <w:pStyle w:val="Compact"/>
            </w:pPr>
            <w:r>
              <w:t xml:space="preserve">Not applicable. The study is funded internally by the sponsor; no external grant had been awarded as at 11 October 2026.</w:t>
            </w:r>
          </w:p>
        </w:tc>
      </w:tr>
    </w:tbl>
    <w:bookmarkEnd w:id="21"/>
    <w:bookmarkStart w:id="22" w:name="key-contacts"/>
    <w:p>
      <w:pPr>
        <w:pStyle w:val="Heading2"/>
      </w:pPr>
      <w:r>
        <w:t xml:space="preserve">Key contacts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Details</w:t>
            </w:r>
          </w:p>
        </w:tc>
      </w:tr>
      <w:tr>
        <w:tc>
          <w:tcPr/>
          <w:p>
            <w:pPr>
              <w:pStyle w:val="Compact"/>
            </w:pPr>
            <w:r>
              <w:t xml:space="preserve">Sponsor</w:t>
            </w:r>
          </w:p>
        </w:tc>
        <w:tc>
          <w:tcPr/>
          <w:p>
            <w:pPr>
              <w:pStyle w:val="Compact"/>
            </w:pPr>
            <w:r>
              <w:t xml:space="preserve">Sleep and Health Clinic App Ltd (company number 12467350), registered office 32 Watford Road, Northwood HA6 3NT. Research contact: admin@sleepandhealth.org</w:t>
            </w:r>
          </w:p>
        </w:tc>
      </w:tr>
      <w:tr>
        <w:tc>
          <w:tcPr/>
          <w:p>
            <w:pPr>
              <w:pStyle w:val="Compact"/>
            </w:pPr>
            <w:r>
              <w:t xml:space="preserve">Sponsor’s authorised signatory</w:t>
            </w:r>
          </w:p>
        </w:tc>
        <w:tc>
          <w:tcPr/>
          <w:p>
            <w:pPr>
              <w:pStyle w:val="Compact"/>
            </w:pPr>
            <w:r>
              <w:t xml:space="preserve">[PLACEHOLDER: name and role of a sponsor signatory other than the Chief Investigator]</w:t>
            </w:r>
          </w:p>
        </w:tc>
      </w:tr>
      <w:tr>
        <w:tc>
          <w:tcPr/>
          <w:p>
            <w:pPr>
              <w:pStyle w:val="Compact"/>
            </w:pPr>
            <w:r>
              <w:t xml:space="preserve">Chief Investigator (proposed)</w:t>
            </w:r>
          </w:p>
        </w:tc>
        <w:tc>
          <w:tcPr/>
          <w:p>
            <w:pPr>
              <w:pStyle w:val="Compact"/>
            </w:pPr>
            <w:r>
              <w:t xml:space="preserve">Dr Sara McNeillis, General Medical Council (GMC) number 4118686. Contact through admin@sleepandhealth.org. [PLACEHOLDER: Chief Investigator’s direct telephone number and correspondence address, if required by the reviewing committee]</w:t>
            </w:r>
          </w:p>
        </w:tc>
      </w:tr>
      <w:tr>
        <w:tc>
          <w:tcPr/>
          <w:p>
            <w:pPr>
              <w:pStyle w:val="Compact"/>
            </w:pPr>
            <w:r>
              <w:t xml:space="preserve">Partner site</w:t>
            </w:r>
          </w:p>
        </w:tc>
        <w:tc>
          <w:tcPr/>
          <w:p>
            <w:pPr>
              <w:pStyle w:val="Compact"/>
            </w:pPr>
            <w:r>
              <w:t xml:space="preserve">University College London Hospitals NHS Foundation Trust (UCLH), the intended NHS partner site, still to be confirmed. No agreement is in place.</w:t>
            </w:r>
          </w:p>
        </w:tc>
      </w:tr>
      <w:tr>
        <w:tc>
          <w:tcPr/>
          <w:p>
            <w:pPr>
              <w:pStyle w:val="Compact"/>
            </w:pPr>
            <w:r>
              <w:t xml:space="preserve">Principal Investigator at the partner site</w:t>
            </w:r>
          </w:p>
        </w:tc>
        <w:tc>
          <w:tcPr/>
          <w:p>
            <w:pPr>
              <w:pStyle w:val="Compact"/>
            </w:pPr>
            <w:r>
              <w:t xml:space="preserve">[PLACEHOLDER: Principal Investigator at UCLH, to be named once the site agreement is in place]</w:t>
            </w:r>
          </w:p>
        </w:tc>
      </w:tr>
      <w:tr>
        <w:tc>
          <w:tcPr/>
          <w:p>
            <w:pPr>
              <w:pStyle w:val="Compact"/>
            </w:pPr>
            <w:r>
              <w:t xml:space="preserve">Independent statistician</w:t>
            </w:r>
          </w:p>
        </w:tc>
        <w:tc>
          <w:tcPr/>
          <w:p>
            <w:pPr>
              <w:pStyle w:val="Compact"/>
            </w:pPr>
            <w:r>
              <w:t xml:space="preserve">[PLACEHOLDER: name and organisation of the independent statistician, not yet appointed]</w:t>
            </w:r>
          </w:p>
        </w:tc>
      </w:tr>
      <w:tr>
        <w:tc>
          <w:tcPr/>
          <w:p>
            <w:pPr>
              <w:pStyle w:val="Compact"/>
            </w:pPr>
            <w:r>
              <w:t xml:space="preserve">Independent member, study oversight group</w:t>
            </w:r>
          </w:p>
        </w:tc>
        <w:tc>
          <w:tcPr/>
          <w:p>
            <w:pPr>
              <w:pStyle w:val="Compact"/>
            </w:pPr>
            <w:r>
              <w:t xml:space="preserve">[PLACEHOLDER: name of the independent oversight member, not yet appointed]</w:t>
            </w:r>
          </w:p>
        </w:tc>
      </w:tr>
      <w:tr>
        <w:tc>
          <w:tcPr/>
          <w:p>
            <w:pPr>
              <w:pStyle w:val="Compact"/>
            </w:pPr>
            <w:r>
              <w:t xml:space="preserve">Data Protection Officer (sponsor)</w:t>
            </w:r>
          </w:p>
        </w:tc>
        <w:tc>
          <w:tcPr/>
          <w:p>
            <w:pPr>
              <w:pStyle w:val="Compact"/>
            </w:pPr>
            <w:r>
              <w:t xml:space="preserve">[PLACEHOLDER: name of the sponsor’s Data Protection Officer, not yet named]</w:t>
            </w:r>
          </w:p>
        </w:tc>
      </w:tr>
      <w:tr>
        <w:tc>
          <w:tcPr/>
          <w:p>
            <w:pPr>
              <w:pStyle w:val="Compact"/>
            </w:pPr>
            <w:r>
              <w:t xml:space="preserve">Clinical adviser</w:t>
            </w:r>
          </w:p>
        </w:tc>
        <w:tc>
          <w:tcPr/>
          <w:p>
            <w:pPr>
              <w:pStyle w:val="Compact"/>
            </w:pPr>
            <w:r>
              <w:t xml:space="preserve">Sleep and Health Clinic Ltd (company number 08904119), advice only</w:t>
            </w:r>
          </w:p>
        </w:tc>
      </w:tr>
      <w:tr>
        <w:tc>
          <w:tcPr/>
          <w:p>
            <w:pPr>
              <w:pStyle w:val="Compact"/>
            </w:pPr>
            <w:r>
              <w:t xml:space="preserve">Clinical master file manager</w:t>
            </w:r>
          </w:p>
        </w:tc>
        <w:tc>
          <w:tcPr/>
          <w:p>
            <w:pPr>
              <w:pStyle w:val="Compact"/>
            </w:pPr>
            <w:r>
              <w:t xml:space="preserve">Clinical master file manager for the sponsor, as recorded in the sponsor delegation log</w:t>
            </w:r>
          </w:p>
        </w:tc>
      </w:tr>
    </w:tbl>
    <w:bookmarkEnd w:id="22"/>
    <w:bookmarkStart w:id="23" w:name="cover-identifiers"/>
    <w:p>
      <w:pPr>
        <w:pStyle w:val="Heading2"/>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 and date</w:t>
            </w:r>
          </w:p>
        </w:tc>
        <w:tc>
          <w:tcPr/>
          <w:p>
            <w:pPr>
              <w:pStyle w:val="Compact"/>
            </w:pPr>
            <w:r>
              <w:t xml:space="preserve">0.5, 12 October 2026</w:t>
            </w:r>
          </w:p>
        </w:tc>
      </w:tr>
      <w:tr>
        <w:tc>
          <w:tcPr/>
          <w:p>
            <w:pPr>
              <w:pStyle w:val="Compact"/>
            </w:pPr>
            <w:r>
              <w:t xml:space="preserve">Sponsor</w:t>
            </w:r>
          </w:p>
        </w:tc>
        <w:tc>
          <w:tcPr/>
          <w:p>
            <w:pPr>
              <w:pStyle w:val="Compact"/>
            </w:pPr>
            <w:r>
              <w:t xml:space="preserve">Sleep and Health Clinic App Ltd (12467350), sole sponsor</w:t>
            </w:r>
          </w:p>
        </w:tc>
      </w:tr>
      <w:tr>
        <w:tc>
          <w:tcPr/>
          <w:p>
            <w:pPr>
              <w:pStyle w:val="Compact"/>
            </w:pPr>
            <w:r>
              <w:t xml:space="preserve">Funder</w:t>
            </w:r>
          </w:p>
        </w:tc>
        <w:tc>
          <w:tcPr/>
          <w:p>
            <w:pPr>
              <w:pStyle w:val="Compact"/>
            </w:pPr>
            <w:r>
              <w:t xml:space="preserve">Sleep and Health Clinic App Ltd (12467350), which holds and administers all study funds. No external grant had been awarded as at 11 October 2026.</w:t>
            </w:r>
          </w:p>
        </w:tc>
      </w:tr>
      <w:tr>
        <w:tc>
          <w:tcPr/>
          <w:p>
            <w:pPr>
              <w:pStyle w:val="Compact"/>
            </w:pPr>
            <w:r>
              <w:t xml:space="preserve">Chief Investigator</w:t>
            </w:r>
          </w:p>
        </w:tc>
        <w:tc>
          <w:tcPr/>
          <w:p>
            <w:pPr>
              <w:pStyle w:val="Compact"/>
            </w:pPr>
            <w:r>
              <w:t xml:space="preserve">Dr Sara McNeillis (GMC 4118686), proposed and not yet signed. She is a director of the sponsor (see section 25, Conflicts of interest). The arrangement is conditional on an independent statistician, an independent oversight member and a sponsor signatory other than Dr Sara McNeillis all being in place.</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as set out in section 5</w:t>
            </w:r>
          </w:p>
        </w:tc>
      </w:tr>
      <w:tr>
        <w:tc>
          <w:tcPr/>
          <w:p>
            <w:pPr>
              <w:pStyle w:val="Compact"/>
            </w:pPr>
            <w:r>
              <w:t xml:space="preserve">Principal Investigator (UCLH)</w:t>
            </w:r>
          </w:p>
        </w:tc>
        <w:tc>
          <w:tcPr/>
          <w:p>
            <w:pPr>
              <w:pStyle w:val="Compact"/>
            </w:pPr>
            <w:r>
              <w:t xml:space="preserve">To be named once the site agreement is in place</w:t>
            </w:r>
          </w:p>
        </w:tc>
      </w:tr>
      <w:tr>
        <w:tc>
          <w:tcPr/>
          <w:p>
            <w:pPr>
              <w:pStyle w:val="Compact"/>
            </w:pPr>
            <w:r>
              <w:t xml:space="preserve">Clinical advice</w:t>
            </w:r>
          </w:p>
        </w:tc>
        <w:tc>
          <w:tcPr/>
          <w:p>
            <w:pPr>
              <w:pStyle w:val="Compact"/>
            </w:pPr>
            <w:r>
              <w:t xml:space="preserve">Sleep and Health Clinic Ltd (08904119), advice only, under the clinical support agreement (drafted; to be signed). It is not a sponsor, site or funder.</w:t>
            </w:r>
          </w:p>
        </w:tc>
      </w:tr>
      <w:tr>
        <w:tc>
          <w:tcPr/>
          <w:p>
            <w:pPr>
              <w:pStyle w:val="Compact"/>
            </w:pPr>
            <w:r>
              <w:t xml:space="preserve">IRAS and REC</w:t>
            </w:r>
          </w:p>
        </w:tc>
        <w:tc>
          <w:tcPr/>
          <w:p>
            <w:pPr>
              <w:pStyle w:val="Compact"/>
            </w:pPr>
            <w:r>
              <w:t xml:space="preserve">Not yet submitted. No IRAS ID and no research ethics committee (REC) opinion. The route will be confirmed (see section 16).</w:t>
            </w:r>
          </w:p>
        </w:tc>
      </w:tr>
      <w:tr>
        <w:tc>
          <w:tcPr/>
          <w:p>
            <w:pPr>
              <w:pStyle w:val="Compact"/>
            </w:pPr>
            <w:r>
              <w:t xml:space="preserve">Recruitment route</w:t>
            </w:r>
          </w:p>
        </w:tc>
        <w:tc>
          <w:tcPr/>
          <w:p>
            <w:pPr>
              <w:pStyle w:val="Compact"/>
            </w:pPr>
            <w:r>
              <w:t xml:space="preserve">Prolific, through Sleep and Health Clinic App Ltd’s own account, is the only recruitment route, as set out in section 6</w:t>
            </w:r>
          </w:p>
        </w:tc>
      </w:tr>
    </w:tbl>
    <w:bookmarkEnd w:id="23"/>
    <w:bookmarkStart w:id="24"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held as a separate file.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sponsor’s template. Calculated total sleep time as primary endpoint; mapping of the CSD-M by construct; feasibility floor of 30 completers pending the statistical analysis plan; earlier licence conversations listed as conversations rather than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still to be confirmed. Vigilance pathway and the trigger for reopening classification removed. Clinical-investigation status under the UK Medical Devices Regulations left undecided. Formulas for total sleep time, sleep onset latency, wake after sleep onset and sleep efficiency recorded as study arithmetic and not as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Classification fixed by Sara McNeillis: the working position became MHRA software as a medical device Class IIa (class 2a), one layer only, replacing the Class IIb working position of 3 October 2026. Purpose and claims left to be confirmed.</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restructured for intellectual-property reasons, as required by Dr Sara McNeillis: Sleep and Health Clinic App Ltd sole sponsor and holder of funds; the hospital or university partner a subcontracted site paid by the sponsor, then unnamed; all intellectual property, data and results owned by the sponsor; publication subject to sponsor review; confidentiality; Sleep and Health Clinic Ltd advice only under the clinical support agreement, with the related-party directors disclosed. Names of earlier research-licence conversations removed. New sections on intended-purpose alignment, sponsorship and funding, contracts, insurance and indemnity, and roles and delegation. Draft intended purpose at that date: insomnia diagnosis and monitoring, no therapy claims (superseded on 13 October 2026).</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wording and the sponsor documents list (Appendix O); clinical study insurance with no-fault compensation; Prolific as recruitment route; rules on free text and data notes; partner site as processor under an Article 28 agreement; legitimate interests proposed as lawful basis, for the Data Protection Officer to confirm; carve-outs for partner background intellectual property and know-how; results made public within 12 months, final report and participant summary; conflict-of-interest safeguards; citation of the UK Medical Devices Regulations 2002 corrected to regulation 16; publication review and patent-delay periods taken from the HRA model Clinical Investigation Agreement (version 6.0, August 2026). Later the same day: source copies of the model agreement filed and cited; exclusion wording aligned; data management plan version 0.3 referenced.</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tc>
      </w:tr>
      <w:tr>
        <w:tc>
          <w:tcPr/>
          <w:p>
            <w:pPr>
              <w:pStyle w:val="Compact"/>
            </w:pPr>
            <w:r>
              <w:t xml:space="preserve">0.5, scope update</w:t>
            </w:r>
          </w:p>
        </w:tc>
        <w:tc>
          <w:tcPr/>
          <w:p>
            <w:pPr>
              <w:pStyle w:val="Compact"/>
            </w:pPr>
            <w:r>
              <w:t xml:space="preserve">13 October 2026</w:t>
            </w:r>
          </w:p>
        </w:tc>
        <w:tc>
          <w:tcPr/>
          <w:p>
            <w:pPr>
              <w:pStyle w:val="Compact"/>
            </w:pPr>
            <w:r>
              <w:t xml:space="preserve">Sponsor’s clinical research team</w:t>
            </w:r>
          </w:p>
        </w:tc>
        <w:tc>
          <w:tcPr/>
          <w:p>
            <w:pPr>
              <w:pStyle w:val="Compact"/>
            </w:pPr>
            <w:r>
              <w:t xml:space="preserve">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Versions 0.2, 0.3 and 0.4 are superseded and kept on file, and the full text of the change notes of 3 and 5 October 2026 is kept in version 0.2. Version 0.5 remains a draft until the Chief Investigator and a person authorised to sign for the sponsor have countersigned the signature page.</w:t>
      </w:r>
    </w:p>
    <w:bookmarkEnd w:id="24"/>
    <w:bookmarkStart w:id="25" w:name="signature-page"/>
    <w:p>
      <w:pPr>
        <w:pStyle w:val="Heading2"/>
      </w:pPr>
      <w:r>
        <w:t xml:space="preserve">Signature page</w:t>
      </w:r>
    </w:p>
    <w:p>
      <w:pPr>
        <w:pStyle w:val="FirstParagraph"/>
      </w:pPr>
      <w:r>
        <w:t xml:space="preserve">The undersigned confirm that this protocol has been approved by the sponsor and that they will conduct the study in accordance with this protocol, the UK Policy Framework for Health and Social Care Research, the principles of good clinical practice, the UK General Data Protection Regulation and the Data Protection Act 2018, the sponsor’s standard operating procedures and all other applicable requirements. They agree that information about the study is confidential to the sponsor and that the results will be published in line with section 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For the sponsor, Sleep and Health Clinic App Ltd</w:t>
            </w:r>
          </w:p>
        </w:tc>
        <w:tc>
          <w:tcPr/>
          <w:p>
            <w:pPr>
              <w:pStyle w:val="Compact"/>
            </w:pPr>
            <w:r>
              <w:t xml:space="preserve">[PLACEHOLDER: authorised signatory other than the Chief Investigator,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[PLACEHOLDER: to be named once the site agreement is in place]</w:t>
            </w:r>
          </w:p>
        </w:tc>
        <w:tc>
          <w:tcPr/>
          <w:p>
            <w:pPr>
              <w:pStyle w:val="Compact"/>
            </w:pPr>
          </w:p>
        </w:tc>
        <w:tc>
          <w:tcPr/>
          <w:p>
            <w:pPr>
              <w:pStyle w:val="Compact"/>
            </w:pPr>
          </w:p>
        </w:tc>
      </w:tr>
      <w:tr>
        <w:tc>
          <w:tcPr/>
          <w:p>
            <w:pPr>
              <w:pStyle w:val="Compact"/>
            </w:pPr>
            <w:r>
              <w:t xml:space="preserve">Independent statistician (statistical analysis plan)</w:t>
            </w:r>
          </w:p>
        </w:tc>
        <w:tc>
          <w:tcPr/>
          <w:p>
            <w:pPr>
              <w:pStyle w:val="Compact"/>
            </w:pPr>
            <w:r>
              <w:t xml:space="preserve">[PLACEHOLDER: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[PLACEHOLDER: the sponsor’s Data Protection Officer, not yet named]</w:t>
            </w:r>
          </w:p>
        </w:tc>
        <w:tc>
          <w:tcPr/>
          <w:p>
            <w:pPr>
              <w:pStyle w:val="Compact"/>
            </w:pPr>
          </w:p>
        </w:tc>
        <w:tc>
          <w:tcPr/>
          <w:p>
            <w:pPr>
              <w:pStyle w:val="Compact"/>
            </w:pPr>
          </w:p>
        </w:tc>
      </w:tr>
    </w:tbl>
    <w:p>
      <w:pPr>
        <w:pStyle w:val="BodyText"/>
      </w:pPr>
      <w:r>
        <w:t xml:space="preserve">Signatures will be collected before enrolment, and enrolment will begin only once the protocol has been approved. The sponsor’s internal research-governance and compliance reviews are recorded in the trial master file and sit alongside these signatures, which remain required.</w:t>
      </w:r>
    </w:p>
    <w:bookmarkEnd w:id="25"/>
    <w:bookmarkStart w:id="26" w:name="table-of-contents"/>
    <w:p>
      <w:pPr>
        <w:pStyle w:val="Heading2"/>
      </w:pPr>
      <w:r>
        <w:t xml:space="preserve">Table of contents</w:t>
      </w:r>
    </w:p>
    <w:p>
      <w:pPr>
        <w:pStyle w:val="FirstParagraph"/>
      </w:pPr>
      <w:r>
        <w:t xml:space="preserve">Front matter: decisions for the sponsor; research reference numbers; key contacts; cover identifiers; version history; signature page; list of abbreviations; study synopsis; funding and support in kind; role of the sponsor and funder; roles of study committees and individuals; protocol contributors; keywords; study flow chart.</w:t>
      </w:r>
    </w:p>
    <w:p>
      <w:pPr>
        <w:pStyle w:val="Compact"/>
        <w:numPr>
          <w:ilvl w:val="0"/>
          <w:numId w:val="1002"/>
        </w:numPr>
      </w:pPr>
      <w:r>
        <w:t xml:space="preserve">Study Summary</w:t>
      </w:r>
    </w:p>
    <w:p>
      <w:pPr>
        <w:pStyle w:val="Compact"/>
        <w:numPr>
          <w:ilvl w:val="0"/>
          <w:numId w:val="1002"/>
        </w:numPr>
      </w:pPr>
      <w:r>
        <w:t xml:space="preserve">Background and Rationale</w:t>
      </w:r>
    </w:p>
    <w:p>
      <w:pPr>
        <w:pStyle w:val="Compact"/>
        <w:numPr>
          <w:ilvl w:val="0"/>
          <w:numId w:val="1002"/>
        </w:numPr>
      </w:pPr>
      <w:r>
        <w:t xml:space="preserve">Intended-Purpose Alignment</w:t>
      </w:r>
    </w:p>
    <w:p>
      <w:pPr>
        <w:pStyle w:val="Compact"/>
        <w:numPr>
          <w:ilvl w:val="0"/>
          <w:numId w:val="1002"/>
        </w:numPr>
      </w:pPr>
      <w:r>
        <w:t xml:space="preserve">Study Objectives</w:t>
      </w:r>
    </w:p>
    <w:p>
      <w:pPr>
        <w:pStyle w:val="Compact"/>
        <w:numPr>
          <w:ilvl w:val="0"/>
          <w:numId w:val="1002"/>
        </w:numPr>
      </w:pPr>
      <w:r>
        <w:t xml:space="preserve">Study Design</w:t>
      </w:r>
    </w:p>
    <w:p>
      <w:pPr>
        <w:pStyle w:val="Compact"/>
        <w:numPr>
          <w:ilvl w:val="0"/>
          <w:numId w:val="1002"/>
        </w:numPr>
      </w:pPr>
      <w:r>
        <w:t xml:space="preserve">Study Population</w:t>
      </w:r>
    </w:p>
    <w:p>
      <w:pPr>
        <w:pStyle w:val="Compact"/>
        <w:numPr>
          <w:ilvl w:val="0"/>
          <w:numId w:val="1002"/>
        </w:numPr>
      </w:pPr>
      <w:r>
        <w:t xml:space="preserve">Inclusion Criteria</w:t>
      </w:r>
    </w:p>
    <w:p>
      <w:pPr>
        <w:pStyle w:val="Compact"/>
        <w:numPr>
          <w:ilvl w:val="0"/>
          <w:numId w:val="1002"/>
        </w:numPr>
      </w:pPr>
      <w:r>
        <w:t xml:space="preserve">Exclusion Criteria</w:t>
      </w:r>
    </w:p>
    <w:p>
      <w:pPr>
        <w:pStyle w:val="Compact"/>
        <w:numPr>
          <w:ilvl w:val="0"/>
          <w:numId w:val="1002"/>
        </w:numPr>
      </w:pPr>
      <w:r>
        <w:t xml:space="preserve">Study Procedures</w:t>
      </w:r>
    </w:p>
    <w:p>
      <w:pPr>
        <w:pStyle w:val="Compact"/>
        <w:numPr>
          <w:ilvl w:val="0"/>
          <w:numId w:val="1002"/>
        </w:numPr>
      </w:pPr>
      <w:r>
        <w:t xml:space="preserve">Study Assessments</w:t>
      </w:r>
    </w:p>
    <w:p>
      <w:pPr>
        <w:pStyle w:val="Compact"/>
        <w:numPr>
          <w:ilvl w:val="0"/>
          <w:numId w:val="1002"/>
        </w:numPr>
      </w:pPr>
      <w:r>
        <w:t xml:space="preserve">Study Schedule</w:t>
      </w:r>
    </w:p>
    <w:p>
      <w:pPr>
        <w:pStyle w:val="Compact"/>
        <w:numPr>
          <w:ilvl w:val="0"/>
          <w:numId w:val="1002"/>
        </w:numPr>
      </w:pPr>
      <w:r>
        <w:t xml:space="preserve">Endpoints</w:t>
      </w:r>
    </w:p>
    <w:p>
      <w:pPr>
        <w:pStyle w:val="Compact"/>
        <w:numPr>
          <w:ilvl w:val="0"/>
          <w:numId w:val="1002"/>
        </w:numPr>
      </w:pPr>
      <w:r>
        <w:t xml:space="preserve">Safety Reporting</w:t>
      </w:r>
    </w:p>
    <w:p>
      <w:pPr>
        <w:pStyle w:val="Compact"/>
        <w:numPr>
          <w:ilvl w:val="0"/>
          <w:numId w:val="1002"/>
        </w:numPr>
      </w:pPr>
      <w:r>
        <w:t xml:space="preserve">Data Management</w:t>
      </w:r>
    </w:p>
    <w:p>
      <w:pPr>
        <w:pStyle w:val="Compact"/>
        <w:numPr>
          <w:ilvl w:val="0"/>
          <w:numId w:val="1002"/>
        </w:numPr>
      </w:pPr>
      <w:r>
        <w:t xml:space="preserve">Statistical Analysis Plan</w:t>
      </w:r>
    </w:p>
    <w:p>
      <w:pPr>
        <w:pStyle w:val="Compact"/>
        <w:numPr>
          <w:ilvl w:val="0"/>
          <w:numId w:val="1002"/>
        </w:numPr>
      </w:pPr>
      <w:r>
        <w:t xml:space="preserve">Ethics and Regulatory Considerations</w:t>
      </w:r>
    </w:p>
    <w:p>
      <w:pPr>
        <w:pStyle w:val="Compact"/>
        <w:numPr>
          <w:ilvl w:val="0"/>
          <w:numId w:val="1002"/>
        </w:numPr>
      </w:pPr>
      <w:r>
        <w:t xml:space="preserve">Sponsorship, Funding and Contracts</w:t>
      </w:r>
    </w:p>
    <w:p>
      <w:pPr>
        <w:pStyle w:val="Compact"/>
        <w:numPr>
          <w:ilvl w:val="0"/>
          <w:numId w:val="1002"/>
        </w:numPr>
      </w:pPr>
      <w:r>
        <w:t xml:space="preserve">Insurance and Indemnity</w:t>
      </w:r>
    </w:p>
    <w:p>
      <w:pPr>
        <w:pStyle w:val="Compact"/>
        <w:numPr>
          <w:ilvl w:val="0"/>
          <w:numId w:val="1002"/>
        </w:numPr>
      </w:pPr>
      <w:r>
        <w:t xml:space="preserve">Patient and Public Involvement</w:t>
      </w:r>
    </w:p>
    <w:p>
      <w:pPr>
        <w:pStyle w:val="Compact"/>
        <w:numPr>
          <w:ilvl w:val="0"/>
          <w:numId w:val="1002"/>
        </w:numPr>
      </w:pPr>
      <w:r>
        <w:t xml:space="preserve">Quality Assurance and Monitoring</w:t>
      </w:r>
    </w:p>
    <w:p>
      <w:pPr>
        <w:pStyle w:val="Compact"/>
        <w:numPr>
          <w:ilvl w:val="0"/>
          <w:numId w:val="1002"/>
        </w:numPr>
      </w:pPr>
      <w:r>
        <w:t xml:space="preserve">Risk Management</w:t>
      </w:r>
    </w:p>
    <w:p>
      <w:pPr>
        <w:pStyle w:val="Compact"/>
        <w:numPr>
          <w:ilvl w:val="0"/>
          <w:numId w:val="1002"/>
        </w:numPr>
      </w:pPr>
      <w:r>
        <w:t xml:space="preserve">Information Governance and UK GDPR</w:t>
      </w:r>
    </w:p>
    <w:p>
      <w:pPr>
        <w:pStyle w:val="Compact"/>
        <w:numPr>
          <w:ilvl w:val="0"/>
          <w:numId w:val="1002"/>
        </w:numPr>
      </w:pPr>
      <w:r>
        <w:t xml:space="preserve">Intellectual Property and Data Ownership</w:t>
      </w:r>
    </w:p>
    <w:p>
      <w:pPr>
        <w:pStyle w:val="Compact"/>
        <w:numPr>
          <w:ilvl w:val="0"/>
          <w:numId w:val="1002"/>
        </w:numPr>
      </w:pPr>
      <w:r>
        <w:t xml:space="preserve">Dissemination and Publication</w:t>
      </w:r>
    </w:p>
    <w:p>
      <w:pPr>
        <w:pStyle w:val="Compact"/>
        <w:numPr>
          <w:ilvl w:val="0"/>
          <w:numId w:val="1002"/>
        </w:numPr>
      </w:pPr>
      <w:r>
        <w:t xml:space="preserve">Study Management, Roles and Delegation</w:t>
      </w:r>
    </w:p>
    <w:p>
      <w:pPr>
        <w:pStyle w:val="Compact"/>
        <w:numPr>
          <w:ilvl w:val="0"/>
          <w:numId w:val="1002"/>
        </w:numPr>
      </w:pPr>
      <w:r>
        <w:t xml:space="preserve">Archiving</w:t>
      </w:r>
    </w:p>
    <w:p>
      <w:pPr>
        <w:pStyle w:val="Compact"/>
        <w:numPr>
          <w:ilvl w:val="0"/>
          <w:numId w:val="1002"/>
        </w:numPr>
      </w:pPr>
      <w:r>
        <w:t xml:space="preserve">References</w:t>
      </w:r>
    </w:p>
    <w:p>
      <w:pPr>
        <w:pStyle w:val="Compact"/>
        <w:numPr>
          <w:ilvl w:val="0"/>
          <w:numId w:val="1002"/>
        </w:numPr>
      </w:pPr>
      <w:r>
        <w:t xml:space="preserve">Appendices, including Appendix O, Sponsor documents</w:t>
      </w:r>
    </w:p>
    <w:p>
      <w:pPr>
        <w:pStyle w:val="FirstParagraph"/>
      </w:pPr>
      <w:r>
        <w:t xml:space="preserve">In the Word version, Heading 1 style is used for these sections. Page numbers will be added when version 1.0 is issued.</w:t>
      </w:r>
    </w:p>
    <w:bookmarkEnd w:id="26"/>
    <w:bookmarkStart w:id="27" w:name="list-of-abbreviations"/>
    <w:p>
      <w:pPr>
        <w:pStyle w:val="Heading2"/>
      </w:pPr>
      <w:r>
        <w:t xml:space="preserve">List of abbreviations</w:t>
      </w:r>
    </w:p>
    <w:p>
      <w:pPr>
        <w:pStyle w:val="FirstParagraph"/>
      </w:pPr>
      <w:r>
        <w:t xml:space="preserve">Abbreviations are spelled out at first use in the text. They are used in tables, field names and formulas for brevity.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AE</w:t>
            </w:r>
          </w:p>
        </w:tc>
        <w:tc>
          <w:tcPr/>
          <w:p>
            <w:pPr>
              <w:pStyle w:val="Compact"/>
            </w:pPr>
            <w:r>
              <w:t xml:space="preserve">Adverse event</w:t>
            </w:r>
          </w:p>
        </w:tc>
      </w:tr>
      <w:tr>
        <w:tc>
          <w:tcPr/>
          <w:p>
            <w:pPr>
              <w:pStyle w:val="Compact"/>
            </w:pPr>
            <w:r>
              <w:t xml:space="preserve">CBT-I</w:t>
            </w:r>
          </w:p>
        </w:tc>
        <w:tc>
          <w:tcPr/>
          <w:p>
            <w:pPr>
              <w:pStyle w:val="Compact"/>
            </w:pPr>
            <w:r>
              <w:t xml:space="preserve">Cognitive behavioural therapy for insomnia</w:t>
            </w:r>
          </w:p>
        </w:tc>
      </w:tr>
      <w:tr>
        <w:tc>
          <w:tcPr/>
          <w:p>
            <w:pPr>
              <w:pStyle w:val="Compact"/>
            </w:pPr>
            <w:r>
              <w:t xml:space="preserve">CI</w:t>
            </w:r>
          </w:p>
        </w:tc>
        <w:tc>
          <w:tcPr/>
          <w:p>
            <w:pPr>
              <w:pStyle w:val="Compact"/>
            </w:pPr>
            <w:r>
              <w:t xml:space="preserve">Chief Investigator</w:t>
            </w:r>
          </w:p>
        </w:tc>
      </w:tr>
      <w:tr>
        <w:tc>
          <w:tcPr/>
          <w:p>
            <w:pPr>
              <w:pStyle w:val="Compact"/>
            </w:pPr>
            <w:r>
              <w:t xml:space="preserve">CRF</w:t>
            </w:r>
          </w:p>
        </w:tc>
        <w:tc>
          <w:tcPr/>
          <w:p>
            <w:pPr>
              <w:pStyle w:val="Compact"/>
            </w:pPr>
            <w:r>
              <w:t xml:space="preserve">Case report form</w:t>
            </w:r>
          </w:p>
        </w:tc>
      </w:tr>
      <w:tr>
        <w:tc>
          <w:tcPr/>
          <w:p>
            <w:pPr>
              <w:pStyle w:val="Compact"/>
            </w:pPr>
            <w:r>
              <w:t xml:space="preserve">CSD-M</w:t>
            </w:r>
          </w:p>
        </w:tc>
        <w:tc>
          <w:tcPr/>
          <w:p>
            <w:pPr>
              <w:pStyle w:val="Compact"/>
            </w:pPr>
            <w:r>
              <w:t xml:space="preserve">Consensus Sleep Diary–Morning</w:t>
            </w:r>
          </w:p>
        </w:tc>
      </w:tr>
      <w:tr>
        <w:tc>
          <w:tcPr/>
          <w:p>
            <w:pPr>
              <w:pStyle w:val="Compact"/>
            </w:pPr>
            <w:r>
              <w:t xml:space="preserve">CSV</w:t>
            </w:r>
          </w:p>
        </w:tc>
        <w:tc>
          <w:tcPr/>
          <w:p>
            <w:pPr>
              <w:pStyle w:val="Compact"/>
            </w:pPr>
            <w:r>
              <w:t xml:space="preserve">Comma-separated values (export file format)</w:t>
            </w:r>
          </w:p>
        </w:tc>
      </w:tr>
      <w:tr>
        <w:tc>
          <w:tcPr/>
          <w:p>
            <w:pPr>
              <w:pStyle w:val="Compact"/>
            </w:pPr>
            <w:r>
              <w:t xml:space="preserve">CTIMP</w:t>
            </w:r>
          </w:p>
        </w:tc>
        <w:tc>
          <w:tcPr/>
          <w:p>
            <w:pPr>
              <w:pStyle w:val="Compact"/>
            </w:pPr>
            <w:r>
              <w:t xml:space="preserve">Clinical trial of an investigational medicinal product</w:t>
            </w:r>
          </w:p>
        </w:tc>
      </w:tr>
      <w:tr>
        <w:tc>
          <w:tcPr/>
          <w:p>
            <w:pPr>
              <w:pStyle w:val="Compact"/>
            </w:pPr>
            <w:r>
              <w:t xml:space="preserve">DMP</w:t>
            </w:r>
          </w:p>
        </w:tc>
        <w:tc>
          <w:tcPr/>
          <w:p>
            <w:pPr>
              <w:pStyle w:val="Compact"/>
            </w:pPr>
            <w:r>
              <w:t xml:space="preserve">Data management plan</w:t>
            </w:r>
          </w:p>
        </w:tc>
      </w:tr>
      <w:tr>
        <w:tc>
          <w:tcPr/>
          <w:p>
            <w:pPr>
              <w:pStyle w:val="Compact"/>
            </w:pPr>
            <w:r>
              <w:t xml:space="preserve">DPIA</w:t>
            </w:r>
          </w:p>
        </w:tc>
        <w:tc>
          <w:tcPr/>
          <w:p>
            <w:pPr>
              <w:pStyle w:val="Compact"/>
            </w:pPr>
            <w:r>
              <w:t xml:space="preserve">Data protection impact assessment</w:t>
            </w:r>
          </w:p>
        </w:tc>
      </w:tr>
      <w:tr>
        <w:tc>
          <w:tcPr/>
          <w:p>
            <w:pPr>
              <w:pStyle w:val="Compact"/>
            </w:pPr>
            <w:r>
              <w:t xml:space="preserve">GCP</w:t>
            </w:r>
          </w:p>
        </w:tc>
        <w:tc>
          <w:tcPr/>
          <w:p>
            <w:pPr>
              <w:pStyle w:val="Compact"/>
            </w:pPr>
            <w:r>
              <w:t xml:space="preserve">Good clinical practice</w:t>
            </w:r>
          </w:p>
        </w:tc>
      </w:tr>
      <w:tr>
        <w:tc>
          <w:tcPr/>
          <w:p>
            <w:pPr>
              <w:pStyle w:val="Compact"/>
            </w:pPr>
            <w:r>
              <w:t xml:space="preserve">GMC</w:t>
            </w:r>
          </w:p>
        </w:tc>
        <w:tc>
          <w:tcPr/>
          <w:p>
            <w:pPr>
              <w:pStyle w:val="Compact"/>
            </w:pPr>
            <w:r>
              <w:t xml:space="preserve">General Medical Council</w:t>
            </w:r>
          </w:p>
        </w:tc>
      </w:tr>
      <w:tr>
        <w:tc>
          <w:tcPr/>
          <w:p>
            <w:pPr>
              <w:pStyle w:val="Compact"/>
            </w:pPr>
            <w:r>
              <w:t xml:space="preserve">HRA</w:t>
            </w:r>
          </w:p>
        </w:tc>
        <w:tc>
          <w:tcPr/>
          <w:p>
            <w:pPr>
              <w:pStyle w:val="Compact"/>
            </w:pPr>
            <w:r>
              <w:t xml:space="preserve">Health Research Authority</w:t>
            </w:r>
          </w:p>
        </w:tc>
      </w:tr>
      <w:tr>
        <w:tc>
          <w:tcPr/>
          <w:p>
            <w:pPr>
              <w:pStyle w:val="Compact"/>
            </w:pPr>
            <w:r>
              <w:t xml:space="preserve">ICC</w:t>
            </w:r>
          </w:p>
        </w:tc>
        <w:tc>
          <w:tcPr/>
          <w:p>
            <w:pPr>
              <w:pStyle w:val="Compact"/>
            </w:pPr>
            <w:r>
              <w:t xml:space="preserve">Intraclass correlation coefficient</w:t>
            </w:r>
          </w:p>
        </w:tc>
      </w:tr>
      <w:tr>
        <w:tc>
          <w:tcPr/>
          <w:p>
            <w:pPr>
              <w:pStyle w:val="Compact"/>
            </w:pPr>
            <w:r>
              <w:t xml:space="preserve">ICO</w:t>
            </w:r>
          </w:p>
        </w:tc>
        <w:tc>
          <w:tcPr/>
          <w:p>
            <w:pPr>
              <w:pStyle w:val="Compact"/>
            </w:pPr>
            <w:r>
              <w:t xml:space="preserve">Information Commissioner’s Office</w:t>
            </w:r>
          </w:p>
        </w:tc>
      </w:tr>
      <w:tr>
        <w:tc>
          <w:tcPr/>
          <w:p>
            <w:pPr>
              <w:pStyle w:val="Compact"/>
            </w:pPr>
            <w:r>
              <w:t xml:space="preserve">IRAS</w:t>
            </w:r>
          </w:p>
        </w:tc>
        <w:tc>
          <w:tcPr/>
          <w:p>
            <w:pPr>
              <w:pStyle w:val="Compact"/>
            </w:pPr>
            <w:r>
              <w:t xml:space="preserve">Integrated Research Application System</w:t>
            </w:r>
          </w:p>
        </w:tc>
      </w:tr>
      <w:tr>
        <w:tc>
          <w:tcPr/>
          <w:p>
            <w:pPr>
              <w:pStyle w:val="Compact"/>
            </w:pPr>
            <w:r>
              <w:t xml:space="preserve">ISRCTN</w:t>
            </w:r>
          </w:p>
        </w:tc>
        <w:tc>
          <w:tcPr/>
          <w:p>
            <w:pPr>
              <w:pStyle w:val="Compact"/>
            </w:pPr>
            <w:r>
              <w:t xml:space="preserve">International Standard Randomised Controlled Trial Number registry</w:t>
            </w:r>
          </w:p>
        </w:tc>
      </w:tr>
      <w:tr>
        <w:tc>
          <w:tcPr/>
          <w:p>
            <w:pPr>
              <w:pStyle w:val="Compact"/>
            </w:pPr>
            <w:r>
              <w:t xml:space="preserve">JSON</w:t>
            </w:r>
          </w:p>
        </w:tc>
        <w:tc>
          <w:tcPr/>
          <w:p>
            <w:pPr>
              <w:pStyle w:val="Compact"/>
            </w:pPr>
            <w:r>
              <w:t xml:space="preserve">JavaScript Object Notation (export file format)</w:t>
            </w:r>
          </w:p>
        </w:tc>
      </w:tr>
      <w:tr>
        <w:tc>
          <w:tcPr/>
          <w:p>
            <w:pPr>
              <w:pStyle w:val="Compact"/>
            </w:pPr>
            <w:r>
              <w:t xml:space="preserve">mCIA</w:t>
            </w:r>
          </w:p>
        </w:tc>
        <w:tc>
          <w:tcPr/>
          <w:p>
            <w:pPr>
              <w:pStyle w:val="Compact"/>
            </w:pPr>
            <w:r>
              <w:t xml:space="preserve">Model Clinical Investigation Agreement</w:t>
            </w:r>
          </w:p>
        </w:tc>
      </w:tr>
      <w:tr>
        <w:tc>
          <w:tcPr/>
          <w:p>
            <w:pPr>
              <w:pStyle w:val="Compact"/>
            </w:pPr>
            <w:r>
              <w:t xml:space="preserve">MHRA</w:t>
            </w:r>
          </w:p>
        </w:tc>
        <w:tc>
          <w:tcPr/>
          <w:p>
            <w:pPr>
              <w:pStyle w:val="Compact"/>
            </w:pPr>
            <w:r>
              <w:t xml:space="preserve">Medicines and Healthcare products Regulatory Agency</w:t>
            </w:r>
          </w:p>
        </w:tc>
      </w:tr>
      <w:tr>
        <w:tc>
          <w:tcPr/>
          <w:p>
            <w:pPr>
              <w:pStyle w:val="Compact"/>
            </w:pPr>
            <w:r>
              <w:t xml:space="preserve">NHS</w:t>
            </w:r>
          </w:p>
        </w:tc>
        <w:tc>
          <w:tcPr/>
          <w:p>
            <w:pPr>
              <w:pStyle w:val="Compact"/>
            </w:pPr>
            <w:r>
              <w:t xml:space="preserve">National Health Service</w:t>
            </w:r>
          </w:p>
        </w:tc>
      </w:tr>
      <w:tr>
        <w:tc>
          <w:tcPr/>
          <w:p>
            <w:pPr>
              <w:pStyle w:val="Compact"/>
            </w:pPr>
            <w:r>
              <w:t xml:space="preserve">NIHR</w:t>
            </w:r>
          </w:p>
        </w:tc>
        <w:tc>
          <w:tcPr/>
          <w:p>
            <w:pPr>
              <w:pStyle w:val="Compact"/>
            </w:pPr>
            <w:r>
              <w:t xml:space="preserve">National Institute for Health and Care Research</w:t>
            </w:r>
          </w:p>
        </w:tc>
      </w:tr>
      <w:tr>
        <w:tc>
          <w:tcPr/>
          <w:p>
            <w:pPr>
              <w:pStyle w:val="Compact"/>
            </w:pPr>
            <w:r>
              <w:t xml:space="preserve">OSA</w:t>
            </w:r>
          </w:p>
        </w:tc>
        <w:tc>
          <w:tcPr/>
          <w:p>
            <w:pPr>
              <w:pStyle w:val="Compact"/>
            </w:pPr>
            <w:r>
              <w:t xml:space="preserve">Obstructive sleep apnoea</w:t>
            </w:r>
          </w:p>
        </w:tc>
      </w:tr>
      <w:tr>
        <w:tc>
          <w:tcPr/>
          <w:p>
            <w:pPr>
              <w:pStyle w:val="Compact"/>
            </w:pPr>
            <w:r>
              <w:t xml:space="preserve">PALS</w:t>
            </w:r>
          </w:p>
        </w:tc>
        <w:tc>
          <w:tcPr/>
          <w:p>
            <w:pPr>
              <w:pStyle w:val="Compact"/>
            </w:pPr>
            <w:r>
              <w:t xml:space="preserve">Patient Advice and Liaison Service</w:t>
            </w:r>
          </w:p>
        </w:tc>
      </w:tr>
      <w:tr>
        <w:tc>
          <w:tcPr/>
          <w:p>
            <w:pPr>
              <w:pStyle w:val="Compact"/>
            </w:pPr>
            <w:r>
              <w:t xml:space="preserve">PI</w:t>
            </w:r>
          </w:p>
        </w:tc>
        <w:tc>
          <w:tcPr/>
          <w:p>
            <w:pPr>
              <w:pStyle w:val="Compact"/>
            </w:pPr>
            <w:r>
              <w:t xml:space="preserve">Principal Investigator</w:t>
            </w:r>
          </w:p>
        </w:tc>
      </w:tr>
      <w:tr>
        <w:tc>
          <w:tcPr/>
          <w:p>
            <w:pPr>
              <w:pStyle w:val="Compact"/>
            </w:pPr>
            <w:r>
              <w:t xml:space="preserve">PIS</w:t>
            </w:r>
          </w:p>
        </w:tc>
        <w:tc>
          <w:tcPr/>
          <w:p>
            <w:pPr>
              <w:pStyle w:val="Compact"/>
            </w:pPr>
            <w:r>
              <w:t xml:space="preserve">Participant information sheet</w:t>
            </w:r>
          </w:p>
        </w:tc>
      </w:tr>
      <w:tr>
        <w:tc>
          <w:tcPr/>
          <w:p>
            <w:pPr>
              <w:pStyle w:val="Compact"/>
            </w:pPr>
            <w:r>
              <w:t xml:space="preserve">REC</w:t>
            </w:r>
          </w:p>
        </w:tc>
        <w:tc>
          <w:tcPr/>
          <w:p>
            <w:pPr>
              <w:pStyle w:val="Compact"/>
            </w:pPr>
            <w:r>
              <w:t xml:space="preserve">Research ethics committee</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SAP</w:t>
            </w:r>
          </w:p>
        </w:tc>
        <w:tc>
          <w:tcPr/>
          <w:p>
            <w:pPr>
              <w:pStyle w:val="Compact"/>
            </w:pPr>
            <w:r>
              <w:t xml:space="preserve">Statistical analysis plan</w:t>
            </w:r>
          </w:p>
        </w:tc>
      </w:tr>
      <w:tr>
        <w:tc>
          <w:tcPr/>
          <w:p>
            <w:pPr>
              <w:pStyle w:val="Compact"/>
            </w:pPr>
            <w:r>
              <w:t xml:space="preserve">SD</w:t>
            </w:r>
          </w:p>
        </w:tc>
        <w:tc>
          <w:tcPr/>
          <w:p>
            <w:pPr>
              <w:pStyle w:val="Compact"/>
            </w:pPr>
            <w:r>
              <w:t xml:space="preserve">Standard deviation</w:t>
            </w:r>
          </w:p>
        </w:tc>
      </w:tr>
      <w:tr>
        <w:tc>
          <w:tcPr/>
          <w:p>
            <w:pPr>
              <w:pStyle w:val="Compact"/>
            </w:pPr>
            <w:r>
              <w:t xml:space="preserve">SE</w:t>
            </w:r>
          </w:p>
        </w:tc>
        <w:tc>
          <w:tcPr/>
          <w:p>
            <w:pPr>
              <w:pStyle w:val="Compact"/>
            </w:pPr>
            <w:r>
              <w:t xml:space="preserve">Sleep efficiency</w:t>
            </w:r>
          </w:p>
        </w:tc>
      </w:tr>
      <w:tr>
        <w:tc>
          <w:tcPr/>
          <w:p>
            <w:pPr>
              <w:pStyle w:val="Compact"/>
            </w:pPr>
            <w:r>
              <w:t xml:space="preserve">SOL</w:t>
            </w:r>
          </w:p>
        </w:tc>
        <w:tc>
          <w:tcPr/>
          <w:p>
            <w:pPr>
              <w:pStyle w:val="Compact"/>
            </w:pPr>
            <w:r>
              <w:t xml:space="preserve">Sleep onset latency</w:t>
            </w:r>
          </w:p>
        </w:tc>
      </w:tr>
      <w:tr>
        <w:tc>
          <w:tcPr/>
          <w:p>
            <w:pPr>
              <w:pStyle w:val="Compact"/>
            </w:pPr>
            <w:r>
              <w:t xml:space="preserve">SUS</w:t>
            </w:r>
          </w:p>
        </w:tc>
        <w:tc>
          <w:tcPr/>
          <w:p>
            <w:pPr>
              <w:pStyle w:val="Compact"/>
            </w:pPr>
            <w:r>
              <w:t xml:space="preserve">System Usability Scale</w:t>
            </w:r>
          </w:p>
        </w:tc>
      </w:tr>
      <w:tr>
        <w:tc>
          <w:tcPr/>
          <w:p>
            <w:pPr>
              <w:pStyle w:val="Compact"/>
            </w:pPr>
            <w:r>
              <w:t xml:space="preserve">TIB</w:t>
            </w:r>
          </w:p>
        </w:tc>
        <w:tc>
          <w:tcPr/>
          <w:p>
            <w:pPr>
              <w:pStyle w:val="Compact"/>
            </w:pPr>
            <w:r>
              <w:t xml:space="preserve">Time in bed</w:t>
            </w:r>
          </w:p>
        </w:tc>
      </w:tr>
      <w:tr>
        <w:tc>
          <w:tcPr/>
          <w:p>
            <w:pPr>
              <w:pStyle w:val="Compact"/>
            </w:pPr>
            <w:r>
              <w:t xml:space="preserve">TST</w:t>
            </w:r>
          </w:p>
        </w:tc>
        <w:tc>
          <w:tcPr/>
          <w:p>
            <w:pPr>
              <w:pStyle w:val="Compact"/>
            </w:pPr>
            <w:r>
              <w:t xml:space="preserve">Total sleep time</w:t>
            </w:r>
          </w:p>
        </w:tc>
      </w:tr>
      <w:tr>
        <w:tc>
          <w:tcPr/>
          <w:p>
            <w:pPr>
              <w:pStyle w:val="Compact"/>
            </w:pPr>
            <w:r>
              <w:t xml:space="preserve">TWAK</w:t>
            </w:r>
          </w:p>
        </w:tc>
        <w:tc>
          <w:tcPr/>
          <w:p>
            <w:pPr>
              <w:pStyle w:val="Compact"/>
            </w:pPr>
            <w:r>
              <w:t xml:space="preserve">Time awake after final awakening, before getting out of bed</w:t>
            </w:r>
          </w:p>
        </w:tc>
      </w:tr>
      <w:tr>
        <w:tc>
          <w:tcPr/>
          <w:p>
            <w:pPr>
              <w:pStyle w:val="Compact"/>
            </w:pPr>
            <w:r>
              <w:t xml:space="preserve">UCLH</w:t>
            </w:r>
          </w:p>
        </w:tc>
        <w:tc>
          <w:tcPr/>
          <w:p>
            <w:pPr>
              <w:pStyle w:val="Compact"/>
            </w:pPr>
            <w:r>
              <w:t xml:space="preserve">University College London Hospitals NHS Foundation Trust</w:t>
            </w:r>
          </w:p>
        </w:tc>
      </w:tr>
      <w:tr>
        <w:tc>
          <w:tcPr/>
          <w:p>
            <w:pPr>
              <w:pStyle w:val="Compact"/>
            </w:pPr>
            <w:r>
              <w:t xml:space="preserve">UK GDPR</w:t>
            </w:r>
          </w:p>
        </w:tc>
        <w:tc>
          <w:tcPr/>
          <w:p>
            <w:pPr>
              <w:pStyle w:val="Compact"/>
            </w:pPr>
            <w:r>
              <w:t xml:space="preserve">United Kingdom General Data Protection Regulation</w:t>
            </w:r>
          </w:p>
        </w:tc>
      </w:tr>
      <w:tr>
        <w:tc>
          <w:tcPr/>
          <w:p>
            <w:pPr>
              <w:pStyle w:val="Compact"/>
            </w:pPr>
            <w:r>
              <w:t xml:space="preserve">UK MDR 2002</w:t>
            </w:r>
          </w:p>
        </w:tc>
        <w:tc>
          <w:tcPr/>
          <w:p>
            <w:pPr>
              <w:pStyle w:val="Compact"/>
            </w:pPr>
            <w:r>
              <w:t xml:space="preserve">UK Medical Devices Regulations 2002 (SI 2002/618, as amended)</w:t>
            </w:r>
          </w:p>
        </w:tc>
      </w:tr>
      <w:tr>
        <w:tc>
          <w:tcPr/>
          <w:p>
            <w:pPr>
              <w:pStyle w:val="Compact"/>
            </w:pPr>
            <w:r>
              <w:t xml:space="preserve">WASO</w:t>
            </w:r>
          </w:p>
        </w:tc>
        <w:tc>
          <w:tcPr/>
          <w:p>
            <w:pPr>
              <w:pStyle w:val="Compact"/>
            </w:pPr>
            <w:r>
              <w:t xml:space="preserve">Wake after sleep onset</w:t>
            </w:r>
          </w:p>
        </w:tc>
      </w:tr>
    </w:tbl>
    <w:bookmarkEnd w:id="27"/>
    <w:bookmarkStart w:id="28" w:name="study-synopsis"/>
    <w:p>
      <w:pPr>
        <w:pStyle w:val="Heading2"/>
      </w:pPr>
      <w:r>
        <w:t xml:space="preserve">Study synopsis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Full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Study design</w:t>
            </w:r>
          </w:p>
        </w:tc>
        <w:tc>
          <w:tcPr/>
          <w:p>
            <w:pPr>
              <w:pStyle w:val="Compact"/>
            </w:pPr>
            <w:r>
              <w:t xml:space="preserve">Prospective, paired, within-person comparison over 14 consecutive mornings, with a usability assessment on day 15. Not a clinical trial of an investigational medicinal product. Clinical-investigation status under the UK Medical Devices Regulations 2002 to be decided by the sponsor (section 16).</w:t>
            </w:r>
          </w:p>
        </w:tc>
      </w:tr>
      <w:tr>
        <w:tc>
          <w:tcPr/>
          <w:p>
            <w:pPr>
              <w:pStyle w:val="Compact"/>
            </w:pPr>
            <w:r>
              <w:t xml:space="preserve">Setting</w:t>
            </w:r>
          </w:p>
        </w:tc>
        <w:tc>
          <w:tcPr/>
          <w:p>
            <w:pPr>
              <w:pStyle w:val="Compact"/>
            </w:pPr>
            <w:r>
              <w:t xml:space="preserve">Remote participation by adult volunteers recruited through Prolific, under the sponsor and the intended partner site (UCLH, to be confirmed)</w:t>
            </w:r>
          </w:p>
        </w:tc>
      </w:tr>
      <w:tr>
        <w:tc>
          <w:tcPr/>
          <w:p>
            <w:pPr>
              <w:pStyle w:val="Compact"/>
            </w:pPr>
            <w:r>
              <w:t xml:space="preserve">Product under study</w:t>
            </w:r>
          </w:p>
        </w:tc>
        <w:tc>
          <w:tcPr/>
          <w:p>
            <w:pPr>
              <w:pStyle w:val="Compact"/>
            </w:pPr>
            <w:r>
              <w:t xml:space="preserve">Lazoo restricted research build, software as a medical device, MHRA Class IIa working position, intended purpose insomnia monitoring only</w:t>
            </w:r>
          </w:p>
        </w:tc>
      </w:tr>
      <w:tr>
        <w:tc>
          <w:tcPr/>
          <w:p>
            <w:pPr>
              <w:pStyle w:val="Compact"/>
            </w:pPr>
            <w:r>
              <w:t xml:space="preserve">Comparator</w:t>
            </w:r>
          </w:p>
        </w:tc>
        <w:tc>
          <w:tcPr/>
          <w:p>
            <w:pPr>
              <w:pStyle w:val="Compact"/>
            </w:pPr>
            <w:r>
              <w:t xml:space="preserve">Consensus Sleep Diary–Morning (Carney et al., 2012), completed as a locked PDF or electronic form</w:t>
            </w:r>
          </w:p>
        </w:tc>
      </w:tr>
      <w:tr>
        <w:tc>
          <w:tcPr/>
          <w:p>
            <w:pPr>
              <w:pStyle w:val="Compact"/>
            </w:pPr>
            <w:r>
              <w:t xml:space="preserve">Participants</w:t>
            </w:r>
          </w:p>
        </w:tc>
        <w:tc>
          <w:tcPr/>
          <w:p>
            <w:pPr>
              <w:pStyle w:val="Compact"/>
            </w:pPr>
            <w:r>
              <w:t xml:space="preserve">Adults aged 18 or over who can complete diaries in English and use the restricted app on their own iOS or Android device</w:t>
            </w:r>
          </w:p>
        </w:tc>
      </w:tr>
      <w:tr>
        <w:tc>
          <w:tcPr/>
          <w:p>
            <w:pPr>
              <w:pStyle w:val="Compact"/>
            </w:pPr>
            <w:r>
              <w:t xml:space="preserve">Planned sample size</w:t>
            </w:r>
          </w:p>
        </w:tc>
        <w:tc>
          <w:tcPr/>
          <w:p>
            <w:pPr>
              <w:pStyle w:val="Compact"/>
            </w:pPr>
            <w:r>
              <w:t xml:space="preserve">Feasibility floor of 30 completers; the final number will be set in the signed statistical analysis plan</w:t>
            </w:r>
          </w:p>
        </w:tc>
      </w:tr>
      <w:tr>
        <w:tc>
          <w:tcPr/>
          <w:p>
            <w:pPr>
              <w:pStyle w:val="Compact"/>
            </w:pPr>
            <w:r>
              <w:t xml:space="preserve">Duration per participant</w:t>
            </w:r>
          </w:p>
        </w:tc>
        <w:tc>
          <w:tcPr/>
          <w:p>
            <w:pPr>
              <w:pStyle w:val="Compact"/>
            </w:pPr>
            <w:r>
              <w:t xml:space="preserve">Screening and training (day 0), 14 diary mornings, and close-out on day 15</w:t>
            </w:r>
          </w:p>
        </w:tc>
      </w:tr>
      <w:tr>
        <w:tc>
          <w:tcPr/>
          <w:p>
            <w:pPr>
              <w:pStyle w:val="Compact"/>
            </w:pPr>
            <w:r>
              <w:t xml:space="preserve">Overall study duration</w:t>
            </w:r>
          </w:p>
        </w:tc>
        <w:tc>
          <w:tcPr/>
          <w:p>
            <w:pPr>
              <w:pStyle w:val="Compact"/>
            </w:pPr>
            <w:r>
              <w:t xml:space="preserve">[PLACEHOLDER: planned recruitment period and overall study duration, for the sponsor to set]</w:t>
            </w:r>
          </w:p>
        </w:tc>
      </w:tr>
      <w:tr>
        <w:tc>
          <w:tcPr/>
          <w:p>
            <w:pPr>
              <w:pStyle w:val="Compact"/>
            </w:pPr>
            <w:r>
              <w:t xml:space="preserve">Primary objective</w:t>
            </w:r>
          </w:p>
        </w:tc>
        <w:tc>
          <w:tcPr/>
          <w:p>
            <w:pPr>
              <w:pStyle w:val="Compact"/>
            </w:pPr>
            <w:r>
              <w:t xml:space="preserve">To estimate agreement between Lazoo and the concurrently completed CSD-M for calculated total sleep time over paired mornings</w:t>
            </w:r>
          </w:p>
        </w:tc>
      </w:tr>
      <w:tr>
        <w:tc>
          <w:tcPr/>
          <w:p>
            <w:pPr>
              <w:pStyle w:val="Compact"/>
            </w:pPr>
            <w:r>
              <w:t xml:space="preserve">Primary endpoint</w:t>
            </w:r>
          </w:p>
        </w:tc>
        <w:tc>
          <w:tcPr/>
          <w:p>
            <w:pPr>
              <w:pStyle w:val="Compact"/>
            </w:pPr>
            <w:r>
              <w:t xml:space="preserve">Night-level difference in calculated total sleep time (Lazoo minus CSD-M, in minutes), analysed by Bland–Altman mean bias and 95% limits of agreement, with nights clustered within participant</w:t>
            </w:r>
          </w:p>
        </w:tc>
      </w:tr>
      <w:tr>
        <w:tc>
          <w:tcPr/>
          <w:p>
            <w:pPr>
              <w:pStyle w:val="Compact"/>
            </w:pPr>
            <w:r>
              <w:t xml:space="preserve">Secondary objectives</w:t>
            </w:r>
          </w:p>
        </w:tc>
        <w:tc>
          <w:tcPr/>
          <w:p>
            <w:pPr>
              <w:pStyle w:val="Compact"/>
            </w:pPr>
            <w:r>
              <w:t xml:space="preserve">Agreement for sleep onset latency, wake after sleep onset, sleep efficiency and number of awakenings; completeness; timestamp and audit-trail integrity; usability</w:t>
            </w:r>
          </w:p>
        </w:tc>
      </w:tr>
    </w:tbl>
    <w:bookmarkEnd w:id="28"/>
    <w:bookmarkStart w:id="29" w:name="funding-and-support-in-kind"/>
    <w:p>
      <w:pPr>
        <w:pStyle w:val="Heading2"/>
      </w:pPr>
      <w:r>
        <w:t xml:space="preserve">Funding and support in kind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Funder</w:t>
            </w:r>
          </w:p>
        </w:tc>
        <w:tc>
          <w:tcPr/>
          <w:p>
            <w:pPr>
              <w:pStyle w:val="Compact"/>
            </w:pPr>
            <w:r>
              <w:t xml:space="preserve">Financial and non-financial support given</w:t>
            </w:r>
          </w:p>
        </w:tc>
      </w:tr>
      <w:tr>
        <w:tc>
          <w:tcPr/>
          <w:p>
            <w:pPr>
              <w:pStyle w:val="Compact"/>
            </w:pPr>
            <w:r>
              <w:t xml:space="preserve">Sleep and Health Clinic App Ltd (12467350)</w:t>
            </w:r>
          </w:p>
        </w:tc>
        <w:tc>
          <w:tcPr/>
          <w:p>
            <w:pPr>
              <w:pStyle w:val="Compact"/>
            </w:pPr>
            <w:r>
              <w:t xml:space="preserve">Holds and administers all study funds. Provides the Lazoo software, the restricted research build and its distribution, study management, data management and storage, and sponsor oversight. Pays the partner site under the site agreement. The engagement of the independent statistician is still to be confirmed.</w:t>
            </w:r>
          </w:p>
        </w:tc>
      </w:tr>
      <w:tr>
        <w:tc>
          <w:tcPr/>
          <w:p>
            <w:pPr>
              <w:pStyle w:val="Compact"/>
            </w:pPr>
            <w:r>
              <w:t xml:space="preserve">External funding</w:t>
            </w:r>
          </w:p>
        </w:tc>
        <w:tc>
          <w:tcPr/>
          <w:p>
            <w:pPr>
              <w:pStyle w:val="Compact"/>
            </w:pPr>
            <w:r>
              <w:t xml:space="preserve">None. No external grant had been awarded as at 11 October 2026. The status of any funding application will be confirmed (see section 17).</w:t>
            </w:r>
          </w:p>
        </w:tc>
      </w:tr>
      <w:tr>
        <w:tc>
          <w:tcPr/>
          <w:p>
            <w:pPr>
              <w:pStyle w:val="Compact"/>
            </w:pPr>
            <w:r>
              <w:t xml:space="preserve">Participant payment through Prolific</w:t>
            </w:r>
          </w:p>
        </w:tc>
        <w:tc>
          <w:tcPr/>
          <w:p>
            <w:pPr>
              <w:pStyle w:val="Compact"/>
            </w:pPr>
            <w:r>
              <w:t xml:space="preserve">[PLACEHOLDER: payment rate and total per participant, to be set by the sponsor; Prolific’s published minimum is £6 per hour, with at least £9 per hour recommended]</w:t>
            </w:r>
          </w:p>
        </w:tc>
      </w:tr>
    </w:tbl>
    <w:bookmarkEnd w:id="29"/>
    <w:bookmarkStart w:id="30" w:name="role-of-the-sponsor-and-funder"/>
    <w:p>
      <w:pPr>
        <w:pStyle w:val="Heading2"/>
      </w:pPr>
      <w:r>
        <w:t xml:space="preserve">Role of the sponsor and funder</w:t>
      </w:r>
    </w:p>
    <w:p>
      <w:pPr>
        <w:pStyle w:val="FirstParagraph"/>
      </w:pPr>
      <w:r>
        <w:t xml:space="preserve">Sleep and Health Clinic App Ltd is the sole sponsor and the sole funder of this study, and it is also the manufacturer of Lazoo and the owner of all intellectual property. As sponsor, it accepts the responsibilities set out in the UK Policy Framework for Health and Social Care Research for the design, conduct, data analysis and interpretation, reporting and publication of the study. To manage the related-party interest described in section 25, the primary analysis is pre-specified and carried out by an independent statistician, and an independent member of the study oversight group reviews the results before they are released. Sponsor review of publications is limited to accuracy, confidential information and patent protection, and will not be used to suppress or delay results beyond the agreed period (section 24).</w:t>
      </w:r>
    </w:p>
    <w:bookmarkEnd w:id="30"/>
    <w:bookmarkStart w:id="31" w:name="X2231a349a1a80a21a7241a3064c240b3b572532"/>
    <w:p>
      <w:pPr>
        <w:pStyle w:val="Heading2"/>
      </w:pPr>
      <w:r>
        <w:t xml:space="preserve">Roles of study committees and individuals</w:t>
      </w:r>
    </w:p>
    <w:p>
      <w:pPr>
        <w:pStyle w:val="FirstParagraph"/>
      </w:pPr>
      <w:r>
        <w:rPr>
          <w:b/>
          <w:bCs/>
        </w:rPr>
        <w:t xml:space="preserve">Study management group.</w:t>
      </w:r>
      <w:r>
        <w:t xml:space="preserve"> </w:t>
      </w:r>
      <w:r>
        <w:t xml:space="preserve">The group consists of the Chief Investigator, the clinical master file manager, the partner site’s Principal Investigator once appointed, the independent statistician when appointed, and one independent member of the study oversight group when appointed. It oversees the day-to-day conduct of the study, recruitment, data completeness and protocol deviations. Meetings are minuted and the minutes are filed in the study correspondence folder. [PLACEHOLDER: frequency of study management group meetings]</w:t>
      </w:r>
    </w:p>
    <w:p>
      <w:pPr>
        <w:pStyle w:val="BodyText"/>
      </w:pPr>
      <w:r>
        <w:rPr>
          <w:b/>
          <w:bCs/>
        </w:rPr>
        <w:t xml:space="preserve">Study oversight group.</w:t>
      </w:r>
      <w:r>
        <w:t xml:space="preserve"> </w:t>
      </w:r>
      <w:r>
        <w:t xml:space="preserve">The study oversight group includes one independent member who is connected to neither company. That member reviews the conduct of the study and its results before release. [PLACEHOLDER: membership, terms of reference and meeting frequency of the study oversight group]</w:t>
      </w:r>
    </w:p>
    <w:p>
      <w:pPr>
        <w:pStyle w:val="BodyText"/>
      </w:pPr>
      <w:r>
        <w:t xml:space="preserve">A data monitoring committee is not proposed, because the study delivers no treatment, uses no in-app interpretation and is limited to 14 mornings of diary completion; safety is overseen by the Chief Investigator as described in section 13. [PLACEHOLDER: sponsor to confirm that no data monitoring committee is required]</w:t>
      </w:r>
    </w:p>
    <w:bookmarkEnd w:id="31"/>
    <w:bookmarkStart w:id="32" w:name="protocol-contributors"/>
    <w:p>
      <w:pPr>
        <w:pStyle w:val="Heading2"/>
      </w:pPr>
      <w:r>
        <w:t xml:space="preserve">Protocol contributors</w:t>
      </w:r>
    </w:p>
    <w:p>
      <w:pPr>
        <w:pStyle w:val="FirstParagraph"/>
      </w:pPr>
      <w:r>
        <w:t xml:space="preserve">The protocol was drafted by the sponsor’s clinical research team and revised after the Research Governance Manager’s review of version 0.3. The sponsor reviews the protocol for governance and intended-purpose wording before sign-off, and the Chief Investigator is responsible for its scientific and clinical content. The independent statistician, once appointed, will contribute the statistical analysis plan. [PLACEHOLDER: names of individual protocol contributors, if the reviewing committee requires them]</w:t>
      </w:r>
    </w:p>
    <w:bookmarkEnd w:id="32"/>
    <w:bookmarkStart w:id="33" w:name="keywords"/>
    <w:p>
      <w:pPr>
        <w:pStyle w:val="Heading2"/>
      </w:pPr>
      <w:r>
        <w:t xml:space="preserve">Keywords</w:t>
      </w:r>
    </w:p>
    <w:p>
      <w:pPr>
        <w:pStyle w:val="FirstParagraph"/>
      </w:pPr>
      <w:r>
        <w:t xml:space="preserve">Sleep diary; insomnia monitoring; Consensus Sleep Diary; software as a medical device; measurement agreement; Bland–Altman; usability; System Usability Scale; digital health.</w:t>
      </w:r>
    </w:p>
    <w:bookmarkEnd w:id="33"/>
    <w:bookmarkStart w:id="34" w:name="study-flow-chart"/>
    <w:p>
      <w:pPr>
        <w:pStyle w:val="Heading2"/>
      </w:pPr>
      <w:r>
        <w:t xml:space="preserve">Study flow chart</w:t>
      </w:r>
    </w:p>
    <w:p>
      <w:pPr>
        <w:pStyle w:val="FirstParagraph"/>
      </w:pPr>
      <w:r>
        <w:t xml:space="preserve">The participant pathway runs as follows.</w:t>
      </w:r>
    </w:p>
    <w:p>
      <w:pPr>
        <w:pStyle w:val="Compact"/>
        <w:numPr>
          <w:ilvl w:val="0"/>
          <w:numId w:val="1003"/>
        </w:numPr>
      </w:pPr>
      <w:r>
        <w:rPr>
          <w:b/>
          <w:bCs/>
        </w:rPr>
        <w:t xml:space="preserve">Invitation and screening.</w:t>
      </w:r>
      <w:r>
        <w:t xml:space="preserve"> </w:t>
      </w:r>
      <w:r>
        <w:t xml:space="preserve">Adult volunteers see the study on Prolific and are screened against the inclusion and exclusion criteria.</w:t>
      </w:r>
    </w:p>
    <w:p>
      <w:pPr>
        <w:pStyle w:val="Compact"/>
        <w:numPr>
          <w:ilvl w:val="0"/>
          <w:numId w:val="1003"/>
        </w:numPr>
      </w:pPr>
      <w:r>
        <w:rPr>
          <w:b/>
          <w:bCs/>
        </w:rPr>
        <w:t xml:space="preserve">Consent and enrolment (day 0).</w:t>
      </w:r>
      <w:r>
        <w:t xml:space="preserve"> </w:t>
      </w:r>
      <w:r>
        <w:t xml:space="preserve">Eligible volunteers give electronic informed consent, receive a participant ID and study code, and are given access to the restricted research build of Lazoo.</w:t>
      </w:r>
    </w:p>
    <w:p>
      <w:pPr>
        <w:pStyle w:val="Compact"/>
        <w:numPr>
          <w:ilvl w:val="0"/>
          <w:numId w:val="1003"/>
        </w:numPr>
      </w:pPr>
      <w:r>
        <w:rPr>
          <w:b/>
          <w:bCs/>
        </w:rPr>
        <w:t xml:space="preserve">Training (day 0).</w:t>
      </w:r>
      <w:r>
        <w:t xml:space="preserve"> </w:t>
      </w:r>
      <w:r>
        <w:t xml:space="preserve">Each participant completes one walkthrough of the CSD-M construct fields and of the Lazoo morning diary.</w:t>
      </w:r>
    </w:p>
    <w:p>
      <w:pPr>
        <w:pStyle w:val="Compact"/>
        <w:numPr>
          <w:ilvl w:val="0"/>
          <w:numId w:val="1003"/>
        </w:numPr>
      </w:pPr>
      <w:r>
        <w:rPr>
          <w:b/>
          <w:bCs/>
        </w:rPr>
        <w:t xml:space="preserve">Diary period (mornings 1 to 14).</w:t>
      </w:r>
      <w:r>
        <w:t xml:space="preserve"> </w:t>
      </w:r>
      <w:r>
        <w:t xml:space="preserve">Each morning the participant completes the CSD-M first and Lazoo second, in the same sitting.</w:t>
      </w:r>
    </w:p>
    <w:p>
      <w:pPr>
        <w:pStyle w:val="Compact"/>
        <w:numPr>
          <w:ilvl w:val="0"/>
          <w:numId w:val="1003"/>
        </w:numPr>
      </w:pPr>
      <w:r>
        <w:rPr>
          <w:b/>
          <w:bCs/>
        </w:rPr>
        <w:t xml:space="preserve">Close-out (day 15).</w:t>
      </w:r>
      <w:r>
        <w:t xml:space="preserve"> </w:t>
      </w:r>
      <w:r>
        <w:t xml:space="preserve">The participant confirms that all CSD-M PDFs have been uploaded, completes the System Usability Scale and three structured questions, and confirms their wishes about continued research use. The study team exports the Lazoo data and files the receipt.</w:t>
      </w:r>
    </w:p>
    <w:p>
      <w:pPr>
        <w:pStyle w:val="Compact"/>
        <w:numPr>
          <w:ilvl w:val="0"/>
          <w:numId w:val="1003"/>
        </w:numPr>
      </w:pPr>
      <w:r>
        <w:rPr>
          <w:b/>
          <w:bCs/>
        </w:rPr>
        <w:t xml:space="preserve">Analysis.</w:t>
      </w:r>
      <w:r>
        <w:t xml:space="preserve"> </w:t>
      </w:r>
      <w:r>
        <w:t xml:space="preserve">Paired mornings are evaluated and analysed by the independent statistician against the signed statistical analysis plan.</w:t>
      </w:r>
    </w:p>
    <w:bookmarkEnd w:id="34"/>
    <w:bookmarkStart w:id="35"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Sponsor</w:t>
            </w:r>
          </w:p>
        </w:tc>
        <w:tc>
          <w:tcPr/>
          <w:p>
            <w:pPr>
              <w:pStyle w:val="Compact"/>
            </w:pPr>
            <w:r>
              <w:t xml:space="preserve">Sleep and Health Clinic App Ltd,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to be engaged and paid by the sponsor as a subcontracted site. No agreement is in place. UCLH will be approached once the clinical trials pack is complete. Its role in this study is solely that of a paid subcontracted site and data processor for Sleep and Health Clinic App Ltd.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and this protocol states no cost figures.</w:t>
            </w:r>
          </w:p>
        </w:tc>
      </w:tr>
      <w:tr>
        <w:tc>
          <w:tcPr/>
          <w:p>
            <w:pPr>
              <w:pStyle w:val="Compact"/>
            </w:pPr>
            <w:r>
              <w:t xml:space="preserve">Clinical advice</w:t>
            </w:r>
          </w:p>
        </w:tc>
        <w:tc>
          <w:tcPr/>
          <w:p>
            <w:pPr>
              <w:pStyle w:val="Compact"/>
            </w:pPr>
            <w:r>
              <w:t xml:space="preserve">Sleep and Health Clinic Ltd (08904119), advice only, under the clinical support agreement (to be signed). Related party: the two companies share directors.</w:t>
            </w:r>
          </w:p>
        </w:tc>
      </w:tr>
      <w:tr>
        <w:tc>
          <w:tcPr/>
          <w:p>
            <w:pPr>
              <w:pStyle w:val="Compact"/>
            </w:pPr>
            <w:r>
              <w:t xml:space="preserve">Chief Investigator</w:t>
            </w:r>
          </w:p>
        </w:tc>
        <w:tc>
          <w:tcPr/>
          <w:p>
            <w:pPr>
              <w:pStyle w:val="Compact"/>
            </w:pPr>
            <w:r>
              <w:t xml:space="preserve">Dr Sara McNeillis (GMC 4118686), proposed. The arrangement is conditional on an independent statistician, an independent oversight member and a sponsor signatory other than Dr Sara McNeillis all being in place.</w:t>
            </w:r>
          </w:p>
        </w:tc>
      </w:tr>
      <w:tr>
        <w:tc>
          <w:tcPr/>
          <w:p>
            <w:pPr>
              <w:pStyle w:val="Compact"/>
            </w:pPr>
            <w:r>
              <w:t xml:space="preserve">Design</w:t>
            </w:r>
          </w:p>
        </w:tc>
        <w:tc>
          <w:tcPr/>
          <w:p>
            <w:pPr>
              <w:pStyle w:val="Compact"/>
            </w:pPr>
            <w:r>
              <w:t xml:space="preserve">Prospective, paired, over 14 consecutive mornings. Concurrent validity (measurement agreement) and usability. Not a clinical trial of an investigational medicinal product. Clinical-investigation status under the UK Medical Devices Regulations to be decided by the sponsor.</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the exact question wording is used or the CSD-M PDF is filed in the trial master file. This protocol cites the paper and maps its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who complete both diaries remotely. Prolific is the only recruitment route, and the partner site does not recruit. Participants come only from the Prolific pool, so no one is recruited from any NHS organisation’s patient lists (including those of UCLH) or from the patients of Sleep &amp; Health Clinic Ltd (08904119). Any change to the recruitment route needs a protocol amendment and ethics approval.</w:t>
            </w:r>
          </w:p>
        </w:tc>
      </w:tr>
      <w:tr>
        <w:tc>
          <w:tcPr/>
          <w:p>
            <w:pPr>
              <w:pStyle w:val="Compact"/>
            </w:pPr>
            <w:r>
              <w:t xml:space="preserve">Duration</w:t>
            </w:r>
          </w:p>
        </w:tc>
        <w:tc>
          <w:tcPr/>
          <w:p>
            <w:pPr>
              <w:pStyle w:val="Compact"/>
            </w:pPr>
            <w:r>
              <w:t xml:space="preserve">Screening and training, 14 diary mornings, and usability close-out on day 15.</w:t>
            </w:r>
          </w:p>
        </w:tc>
      </w:tr>
      <w:tr>
        <w:tc>
          <w:tcPr/>
          <w:p>
            <w:pPr>
              <w:pStyle w:val="Compact"/>
            </w:pPr>
            <w:r>
              <w:t xml:space="preserve">Sample size</w:t>
            </w:r>
          </w:p>
        </w:tc>
        <w:tc>
          <w:tcPr/>
          <w:p>
            <w:pPr>
              <w:pStyle w:val="Compact"/>
            </w:pPr>
            <w:r>
              <w:t xml:space="preserve">Feasibility floor of 30 completers. A completer has at least 10 of 14 paired mornings that can be evaluated for calculated total sleep time. This is a minimum and not the final number; the formal sample size for the precision of the Bland–Altman limits will be set in the signed statistical analysis plan.</w:t>
            </w:r>
          </w:p>
        </w:tc>
      </w:tr>
      <w:tr>
        <w:tc>
          <w:tcPr/>
          <w:p>
            <w:pPr>
              <w:pStyle w:val="Compact"/>
            </w:pPr>
            <w:r>
              <w:t xml:space="preserve">Primary endpoint</w:t>
            </w:r>
          </w:p>
        </w:tc>
        <w:tc>
          <w:tcPr/>
          <w:p>
            <w:pPr>
              <w:pStyle w:val="Compact"/>
            </w:pPr>
            <w:r>
              <w:t xml:space="preserve">Night-level agreement of calculated total sleep time (TST) between Lazoo and the CSD-M. Total sleep time is calculated, rather than taken from CSD-M item 8 (a subjective estimate). Formula: TST = (out_of_bed − sleep_attempt) − SOL − WASO − TWAK. The fields in_bed and sleep_attempt remain separate. These formulas are study arithmetic for this agreement study and are not a product claim.</w:t>
            </w:r>
          </w:p>
        </w:tc>
      </w:tr>
      <w:tr>
        <w:tc>
          <w:tcPr/>
          <w:p>
            <w:pPr>
              <w:pStyle w:val="Compact"/>
            </w:pPr>
            <w:r>
              <w:t xml:space="preserve">Registration</w:t>
            </w:r>
          </w:p>
        </w:tc>
        <w:tc>
          <w:tcPr/>
          <w:p>
            <w:pPr>
              <w:pStyle w:val="Compact"/>
            </w:pPr>
            <w:r>
              <w:t xml:space="preserve">Will be completed before the first participant (ISRCTN or equivalent), in line with HRA transparency expectations. Not yet registered. Results will be made public within 12 months of the end of the study (section 24).</w:t>
            </w:r>
          </w:p>
        </w:tc>
      </w:tr>
      <w:tr>
        <w:tc>
          <w:tcPr/>
          <w:p>
            <w:pPr>
              <w:pStyle w:val="Compact"/>
            </w:pPr>
            <w:r>
              <w:t xml:space="preserve">Insurance</w:t>
            </w:r>
          </w:p>
        </w:tc>
        <w:tc>
          <w:tcPr/>
          <w:p>
            <w:pPr>
              <w:pStyle w:val="Compact"/>
            </w:pPr>
            <w:r>
              <w:t xml:space="preserve">Working position, pending sponsor decision: clinical study insurance with no-fault compensation for participants, and sponsor indemnity for the partner site. The insurer and quotation will be confirmed; no quotation has yet been obtained. Enrolment will begin only once the certificate has been filed.</w:t>
            </w:r>
          </w:p>
        </w:tc>
      </w:tr>
    </w:tbl>
    <w:bookmarkEnd w:id="35"/>
    <w:bookmarkStart w:id="36" w:name="background-and-rationale"/>
    <w:p>
      <w:pPr>
        <w:pStyle w:val="Heading2"/>
      </w:pPr>
      <w:r>
        <w:t xml:space="preserve">2. Background and Rationale</w:t>
      </w:r>
    </w:p>
    <w:p>
      <w:pPr>
        <w:pStyle w:val="FirstParagraph"/>
      </w:pPr>
      <w:r>
        <w:t xml:space="preserve">People who keep a sleep diary, and the clinicians who later read it, need a digital log that captures the same constructs as the field’s consensus paper diary and stores each entry with a timestamp, an audit trail and an export of raw values. The Consensus Sleep Diary–Morning (CSD-M) is the reference self-report instrument for prospective sleep monitoring (Carney et al., 2012). A digital version is not automatically equivalent to the paper original, because field names, the order of questions, derived indices and the way edits are handled can all change what is recorded.</w:t>
      </w:r>
    </w:p>
    <w:p>
      <w:pPr>
        <w:pStyle w:val="BodyText"/>
      </w:pPr>
      <w:r>
        <w:t xml:space="preserve">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section 12). Reed and Sacco (2016) and Maich et al. (2018) show that total sleep time and sleep efficiency change if time in bed is measured from lights-out rather than from the later time at which the person tried to sleep. This study therefore keeps in_bed (the construct of CSD-M item 1) and sleep_attempt (the construct of item 2) as separate fields, and uses the formula in section 12 unless the Chief Investigator signs a documented variant following Maich et al. in the statistical analysis plan.</w:t>
      </w:r>
    </w:p>
    <w:p>
      <w:pPr>
        <w:pStyle w:val="BodyText"/>
      </w:pPr>
      <w:r>
        <w:t xml:space="preserve">This is not a clinical trial of an investigational medicinal product. Whether the study is a clinical investigation under regulation 16 of the UK Medical Devices Regulations 2002 is a decision for the sponsor (see section 16). This protocol makes no statement about conformity marking. An artificial intelligence validation report and a clinical evaluation report lie outside this protocol.</w:t>
      </w:r>
    </w:p>
    <w:p>
      <w:pPr>
        <w:pStyle w:val="BodyText"/>
      </w:pPr>
      <w:r>
        <w:t xml:space="preserve">Studies sponsored by other organisations lie outside this protocol, and their documents, letterhead, participant information and contact routes are kept separately from this file.</w:t>
      </w:r>
    </w:p>
    <w:bookmarkEnd w:id="36"/>
    <w:bookmarkStart w:id="37"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this study relates to it</w:t>
            </w:r>
          </w:p>
        </w:tc>
      </w:tr>
      <w:tr>
        <w:tc>
          <w:tcPr/>
          <w:p>
            <w:pPr>
              <w:pStyle w:val="Compact"/>
            </w:pPr>
            <w:r>
              <w:t xml:space="preserve">Insomnia monitoring</w:t>
            </w:r>
          </w:p>
        </w:tc>
        <w:tc>
          <w:tcPr/>
          <w:p>
            <w:pPr>
              <w:pStyle w:val="Compact"/>
            </w:pPr>
            <w:r>
              <w:t xml:space="preserve">Supported indirectly. The study generates evidence on measurement agreement, completeness, audit-trail integrity and usability for the diary records on which monitoring depends. It does not set out to establish a clinical benefit.</w:t>
            </w:r>
          </w:p>
        </w:tc>
      </w:tr>
      <w:tr>
        <w:tc>
          <w:tcPr/>
          <w:p>
            <w:pPr>
              <w:pStyle w:val="Compact"/>
            </w:pPr>
            <w:r>
              <w:t xml:space="preserve">Diagnostic accuracy</w:t>
            </w:r>
          </w:p>
        </w:tc>
        <w:tc>
          <w:tcPr/>
          <w:p>
            <w:pPr>
              <w:pStyle w:val="Compact"/>
            </w:pPr>
            <w:r>
              <w:t xml:space="preserve">The study measures no diagnostic accuracy. It uses no diagnostic cut-points and no reference-standard diagnosis, and includes no sensitivity, specificity or receiver operating characteristic (ROC) analysis.</w:t>
            </w:r>
          </w:p>
        </w:tc>
      </w:tr>
      <w:tr>
        <w:tc>
          <w:tcPr/>
          <w:p>
            <w:pPr>
              <w:pStyle w:val="Compact"/>
            </w:pPr>
            <w:r>
              <w:t xml:space="preserve">Therapy</w:t>
            </w:r>
          </w:p>
        </w:tc>
        <w:tc>
          <w:tcPr/>
          <w:p>
            <w:pPr>
              <w:pStyle w:val="Compact"/>
            </w:pPr>
            <w:r>
              <w:t xml:space="preserve">Outside the scope. No therapy claims. No content on cognitive behavioural therapy for insomnia (CBT-I), no allocation of treatment and no treatment-response endpoint.</w:t>
            </w:r>
          </w:p>
        </w:tc>
      </w:tr>
      <w:tr>
        <w:tc>
          <w:tcPr/>
          <w:p>
            <w:pPr>
              <w:pStyle w:val="Compact"/>
            </w:pPr>
            <w:r>
              <w:t xml:space="preserve">Obstructive sleep apnoea</w:t>
            </w:r>
          </w:p>
        </w:tc>
        <w:tc>
          <w:tcPr/>
          <w:p>
            <w:pPr>
              <w:pStyle w:val="Compact"/>
            </w:pPr>
            <w:r>
              <w:t xml:space="preserve">Outside the scope. Obstructive sleep apnoea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as confirmed on 13 October 2026. Pregnancy is excluded from this validation study because use in pregnancy will be evaluated in a separate, dedicated study later (sponsor decision, 13 October 2026). See section 8.</w:t>
            </w:r>
          </w:p>
        </w:tc>
      </w:tr>
      <w:tr>
        <w:tc>
          <w:tcPr/>
          <w:p>
            <w:pPr>
              <w:pStyle w:val="Compact"/>
            </w:pPr>
            <w:r>
              <w:t xml:space="preserve">Final wording</w:t>
            </w:r>
          </w:p>
        </w:tc>
        <w:tc>
          <w:tcPr/>
          <w:p>
            <w:pPr>
              <w:pStyle w:val="Compact"/>
            </w:pPr>
            <w:r>
              <w:t xml:space="preserve">The intended-purpose statement will be locked in the controlled intended purpose statement. Once locked, it will be copied word for word, by amendment, into this protocol, the participant information sheet and the study summary.</w:t>
            </w:r>
          </w:p>
        </w:tc>
      </w:tr>
    </w:tbl>
    <w:p>
      <w:pPr>
        <w:pStyle w:val="BodyText"/>
      </w:pPr>
      <w:r>
        <w:t xml:space="preserve">Every result of this study will be presented as evidence on diary agreement and usability, and none may be presented as a diagnostic claim or a therapy claim.</w:t>
      </w:r>
    </w:p>
    <w:p>
      <w:pPr>
        <w:pStyle w:val="BodyText"/>
      </w:pPr>
      <w:r>
        <w:t xml:space="preserve">The research notes on Prolific and the MHRA dated 14 October 2026 support this section and section 16. They are background reading and not a decision; the regulatory route remains the sponsor’s decision.</w:t>
      </w:r>
    </w:p>
    <w:bookmarkEnd w:id="37"/>
    <w:bookmarkStart w:id="42" w:name="study-objectives"/>
    <w:p>
      <w:pPr>
        <w:pStyle w:val="Heading2"/>
      </w:pPr>
      <w:r>
        <w:t xml:space="preserve">4. Study Objectives</w:t>
      </w:r>
    </w:p>
    <w:bookmarkStart w:id="38" w:name="primary-objective"/>
    <w:p>
      <w:pPr>
        <w:pStyle w:val="Heading3"/>
      </w:pPr>
      <w:r>
        <w:t xml:space="preserve">Primary objective</w:t>
      </w:r>
    </w:p>
    <w:p>
      <w:pPr>
        <w:pStyle w:val="FirstParagraph"/>
      </w:pPr>
      <w:r>
        <w:t xml:space="preserve">To estimate agreement between Lazoo and a concurrently completed CSD-M for calculated total sleep time over paired mornings, in adults using the restricted research app.</w:t>
      </w:r>
    </w:p>
    <w:bookmarkEnd w:id="38"/>
    <w:bookmarkStart w:id="39" w:name="secondary-objectives"/>
    <w:p>
      <w:pPr>
        <w:pStyle w:val="Heading3"/>
      </w:pPr>
      <w:r>
        <w:t xml:space="preserve">Secondary objectives</w:t>
      </w:r>
    </w:p>
    <w:p>
      <w:pPr>
        <w:pStyle w:val="Compact"/>
        <w:numPr>
          <w:ilvl w:val="0"/>
          <w:numId w:val="1004"/>
        </w:numPr>
      </w:pPr>
      <w:r>
        <w:t xml:space="preserve">To estimate agreement for sleep onset latency (SOL), wake after sleep onset (WASO), sleep efficiency (SE) and the number of awakenings, excluding the final awakening.</w:t>
      </w:r>
    </w:p>
    <w:p>
      <w:pPr>
        <w:pStyle w:val="Compact"/>
        <w:numPr>
          <w:ilvl w:val="0"/>
          <w:numId w:val="1004"/>
        </w:numPr>
      </w:pPr>
      <w:r>
        <w:t xml:space="preserve">To describe completeness over the 14 mornings, in terms of paired mornings and missing data at item level.</w:t>
      </w:r>
    </w:p>
    <w:p>
      <w:pPr>
        <w:pStyle w:val="Compact"/>
        <w:numPr>
          <w:ilvl w:val="0"/>
          <w:numId w:val="1004"/>
        </w:numPr>
      </w:pPr>
      <w:r>
        <w:t xml:space="preserve">To describe timestamp integrity and the completeness of the audit trail for edits made in Lazoo (who made the change, what was changed and when, with the original value retained).</w:t>
      </w:r>
    </w:p>
    <w:p>
      <w:pPr>
        <w:pStyle w:val="Compact"/>
        <w:numPr>
          <w:ilvl w:val="0"/>
          <w:numId w:val="1004"/>
        </w:numPr>
      </w:pPr>
      <w:r>
        <w:t xml:space="preserve">To describe the usability of Lazoo version 1, using the System Usability Scale (Brooke, 1996) and three structured questions.</w:t>
      </w:r>
    </w:p>
    <w:bookmarkEnd w:id="39"/>
    <w:bookmarkStart w:id="40" w:name="exploratory-objectives"/>
    <w:p>
      <w:pPr>
        <w:pStyle w:val="Heading3"/>
      </w:pPr>
      <w:r>
        <w:t xml:space="preserve">Exploratory objectives</w:t>
      </w:r>
    </w:p>
    <w:p>
      <w:pPr>
        <w:pStyle w:val="FirstParagraph"/>
      </w:pPr>
      <w:r>
        <w:t xml:space="preserve">The study will also describe the difference between calculated total sleep time and the construct of CSD-M item 8 (the participant’s subjective estimate of time asleep, recorded as tst_subjective); item 8 is not the primary endpoint. It will describe the reporting of naps and dozes, and the lifestyle text entered by the user on caffeine, alcohol and sleep medication, as covariates only.</w:t>
      </w:r>
    </w:p>
    <w:bookmarkEnd w:id="40"/>
    <w:bookmarkStart w:id="41" w:name="scope-of-the-study"/>
    <w:p>
      <w:pPr>
        <w:pStyle w:val="Heading3"/>
      </w:pPr>
      <w:r>
        <w:t xml:space="preserve">Scope of the study</w:t>
      </w:r>
    </w:p>
    <w:p>
      <w:pPr>
        <w:pStyle w:val="FirstParagraph"/>
      </w:pPr>
      <w:r>
        <w:t xml:space="preserve">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bookmarkEnd w:id="41"/>
    <w:bookmarkEnd w:id="42"/>
    <w:bookmarkStart w:id="47" w:name="study-design"/>
    <w:p>
      <w:pPr>
        <w:pStyle w:val="Heading2"/>
      </w:pPr>
      <w:r>
        <w:t xml:space="preserve">5. Study Design</w:t>
      </w:r>
    </w:p>
    <w:p>
      <w:pPr>
        <w:pStyle w:val="FirstParagraph"/>
      </w:pPr>
      <w:r>
        <w:t xml:space="preserve">The study is a prospective, paired, within-person comparison. Each morning for 14 consecutive mornings, the participant completes the CSD-M first and then Lazoo, in the same sitting, so that Lazoo cannot pre-fill the comparator. The CSD-M is completed as a locked PDF or electronic form only, no paper copies are posted, and the participant uploads each completed CSD-M PDF electronically. Every participant follows the same procedure, without randomisation. No investigational medicinal product is used, the participant’s care is unchanged, and the app records entries without interpreting them.</w:t>
      </w:r>
    </w:p>
    <w:p>
      <w:pPr>
        <w:pStyle w:val="BodyText"/>
      </w:pPr>
      <w:r>
        <w:t xml:space="preserve">The study is research that is not a clinical trial of an investigational medicinal product. Its clinical-investigation status under the UK Medical Devices Regulations will be decided by the sponsor, and ethics review is required before the first participant. The intended partner site is UCLH, as described below under</w:t>
      </w:r>
      <w:r>
        <w:t xml:space="preserve"> </w:t>
      </w:r>
      <w:r>
        <w:t xml:space="preserve">“Site”</w:t>
      </w:r>
      <w:r>
        <w:t xml:space="preserve">. If UCLH is confirmed, Health Research Authority (HRA) Approval is expected before the site opens (see section 16).</w:t>
      </w:r>
    </w:p>
    <w:bookmarkStart w:id="43" w:name="product-under-study"/>
    <w:p>
      <w:pPr>
        <w:pStyle w:val="Heading3"/>
      </w:pPr>
      <w:r>
        <w:t xml:space="preserve">Product under study</w:t>
      </w:r>
    </w:p>
    <w:p>
      <w:pPr>
        <w:pStyle w:val="FirstParagraph"/>
      </w:pPr>
      <w:r>
        <w:t xml:space="preserve">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pStyle w:val="BodyText"/>
      </w:pPr>
      <w:r>
        <w:t xml:space="preserve">The version number and release note of the research-ready build are still to be confirmed: [PLACEHOLDER: app version and release note of the research-ready build]. The protocol becomes executable once the software version log names that version.</w:t>
      </w:r>
    </w:p>
    <w:bookmarkEnd w:id="43"/>
    <w:bookmarkStart w:id="44" w:name="comparator-handling-and-copyright"/>
    <w:p>
      <w:pPr>
        <w:pStyle w:val="Heading3"/>
      </w:pPr>
      <w:r>
        <w:t xml:space="preserve">Comparator handling and copyright</w:t>
      </w:r>
    </w:p>
    <w:p>
      <w:pPr>
        <w:pStyle w:val="FirstParagraph"/>
      </w:pPr>
      <w:r>
        <w:t xml:space="preserve">The CSD-M is cited rather than reproduced. Construct names and field codes are used in the protocol, the case report form and the data dictionary. The exact CSD-M question wording, Figure 2 of the paper and the publisher’s PDF will be placed in the trial master file, the app or the case report form only once a written industry licence from Dr Colleen Carney is on file; the licence is for commercial use and fees are charged. UK wording changes (for example</w:t>
      </w:r>
      <w:r>
        <w:t xml:space="preserve"> </w:t>
      </w:r>
      <w:r>
        <w:t xml:space="preserve">“soft drink”</w:t>
      </w:r>
      <w:r>
        <w:t xml:space="preserve"> </w:t>
      </w:r>
      <w:r>
        <w:t xml:space="preserve">for</w:t>
      </w:r>
      <w:r>
        <w:t xml:space="preserve"> </w:t>
      </w:r>
      <w:r>
        <w:t xml:space="preserve">“soda”</w:t>
      </w:r>
      <w:r>
        <w:t xml:space="preserve">, or millilitres for ounces) are a linguistic adaptation and also need the copyright holder’s agreement if the question wording changes.</w:t>
      </w:r>
    </w:p>
    <w:p>
      <w:pPr>
        <w:pStyle w:val="BodyText"/>
      </w:pPr>
      <w:r>
        <w:t xml:space="preserve">The CSD-M industry licence is still to be confirmed. The version used is the Consensus Sleep Diary–Morning as published in Carney et al., Sleep 2012;35:287–302. A licence for use in the UK is not yet in place and must be in place before first use, because the CSD-M is subject to US copyright. Until the licence is on file, source worksheets use construct labels and boxes for clock times only.</w:t>
      </w:r>
    </w:p>
    <w:bookmarkEnd w:id="44"/>
    <w:bookmarkStart w:id="45" w:name="site"/>
    <w:p>
      <w:pPr>
        <w:pStyle w:val="Heading3"/>
      </w:pPr>
      <w:r>
        <w:t xml:space="preserve">Site</w:t>
      </w:r>
    </w:p>
    <w:p>
      <w:pPr>
        <w:pStyle w:val="FirstParagraph"/>
      </w:pPr>
      <w:r>
        <w:t xml:space="preserve">The study is conducted under the sponsor at one intended partner site, University College London Hospitals NHS Foundation Trust (UCLH), which is still to be confirmed. No agreement is in place, and UCLH will be approached once the clinical trials pack is complete. The role of UCLH in this study is solely that of a paid subcontracted site and data processor for Sleep and Health Clinic App Ltd.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and this protocol states no cost figures.</w:t>
      </w:r>
    </w:p>
    <w:p>
      <w:pPr>
        <w:pStyle w:val="BodyText"/>
      </w:pPr>
      <w:r>
        <w:t xml:space="preserve">Sleep and Health Clinic App Ltd (12467350) remains the sole sponsor and funder and owns all intellectual property. It pays UCLH as a subcontracted site, and UCLH acts as processor for Sleep and Health Clinic App Ltd.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UCLH will provide will be confirmed in the site agreement. The sponsor’s proposed scope is: a Principal Investigator with oversight at the site; screening, consent and study conduct in accordance with this protocol; handling of source documents and completion of the case report form; maintenance of an investigator site file; and cooperation with sponsor monitoring and audit.</w:t>
      </w:r>
    </w:p>
    <w:p>
      <w:pPr>
        <w:pStyle w:val="BodyText"/>
      </w:pPr>
      <w:r>
        <w:t xml:space="preserve">Participants are adult volunteers recruited by the sponsor through Prolific (see section 6), who complete both diaries remotely. Sleep and Health Clinic Ltd is not a research site.</w:t>
      </w:r>
    </w:p>
    <w:p>
      <w:pPr>
        <w:pStyle w:val="BodyText"/>
      </w:pPr>
      <w:r>
        <w:t xml:space="preserve">UCLH will receive a site code, an investigator site file and access to the study once the site agreement has been signed, the required approvals are in place and the sponsor has formally opened the site. Adding any further site requires a protocol amendment.</w:t>
      </w:r>
    </w:p>
    <w:bookmarkEnd w:id="45"/>
    <w:bookmarkStart w:id="46"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standard operating procedure for scoring that device.</w:t>
      </w:r>
    </w:p>
    <w:bookmarkEnd w:id="46"/>
    <w:bookmarkEnd w:id="47"/>
    <w:bookmarkStart w:id="51" w:name="study-population"/>
    <w:p>
      <w:pPr>
        <w:pStyle w:val="Heading2"/>
      </w:pPr>
      <w:r>
        <w:t xml:space="preserve">6. Study Population</w:t>
      </w:r>
    </w:p>
    <w:p>
      <w:pPr>
        <w:pStyle w:val="FirstParagraph"/>
      </w:pPr>
      <w:r>
        <w:t xml:space="preserve">The study population is adults aged 18 years or over who can use the restricted English-language app and who are willing to complete both Lazoo and the CSD-M each morning for 14 days. Participants are volunteers. They take part as research volunteers rather than as NHS patients, and their care continues unchanged whatever the diary values show.</w:t>
      </w:r>
    </w:p>
    <w:bookmarkStart w:id="48" w:name="recruitment-route"/>
    <w:p>
      <w:pPr>
        <w:pStyle w:val="Heading3"/>
      </w:pPr>
      <w:r>
        <w:t xml:space="preserve">Recruitment route</w:t>
      </w:r>
    </w:p>
    <w:p>
      <w:pPr>
        <w:pStyle w:val="FirstParagraph"/>
      </w:pPr>
      <w:r>
        <w:t xml:space="preserve">Recruitment runs only through Prolific, using Sleep and Health Clinic App Ltd’s own account. The partner site does not recruit, and any change to the recruitment route needs a protocol amendment and ethics approval. Volunteers who respond to the sponsor’s study advertisement are screened against the inclusion and exclusion criteria. Participants come only from the Prolific pool, and none is recruited from any NHS organisation’s patient lists (including those of UCLH) or from the patients of Sleep &amp; Health Clinic Ltd (08904119).</w:t>
      </w:r>
    </w:p>
    <w:p>
      <w:pPr>
        <w:pStyle w:val="BodyText"/>
      </w:pPr>
      <w:r>
        <w:t xml:space="preserve">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pStyle w:val="BodyText"/>
      </w:pPr>
      <w:r>
        <w:t xml:space="preserve">Prolific acts as an independent controller of its account data, so no data processing agreement is needed. Its terms will be reviewed and the review recorded in the data management plan and the data protection impact assessment before recruitment opens. A recorded review of Prolific’s terms is an item owned by the sponsor that will be closed before the Chief Investigator signs. The recruitment advertisement and any study description on Prolific are participant-facing documents and will be submitted for ethics review: [PLACEHOLDER: recruitment advertisement and Prolific study description, to be drafted for ethics review].</w:t>
      </w:r>
    </w:p>
    <w:bookmarkEnd w:id="48"/>
    <w:bookmarkStart w:id="49" w:name="sample-size-target"/>
    <w:p>
      <w:pPr>
        <w:pStyle w:val="Heading3"/>
      </w:pPr>
      <w:r>
        <w:t xml:space="preserve">Sample size target</w:t>
      </w:r>
    </w:p>
    <w:p>
      <w:pPr>
        <w:pStyle w:val="FirstParagraph"/>
      </w:pPr>
      <w:r>
        <w:t xml:space="preserve">The target for feasibility is 30 completers. Screening may continue until that floor is reached or until the Chief Investigator stops the study. The statistical analysis plan may raise the number of participants, but any change that would loosen the definition of a completer requires a protocol amendment.</w:t>
      </w:r>
    </w:p>
    <w:p>
      <w:pPr>
        <w:pStyle w:val="BodyText"/>
      </w:pPr>
      <w:r>
        <w:t xml:space="preserve">A completer is a participant with at least 10 of 14 paired mornings that can be evaluated for calculated total sleep time on both diaries (see section 12).</w:t>
      </w:r>
    </w:p>
    <w:bookmarkEnd w:id="49"/>
    <w:bookmarkStart w:id="50" w:name="groups-outside-the-study"/>
    <w:p>
      <w:pPr>
        <w:pStyle w:val="Heading3"/>
      </w:pPr>
      <w:r>
        <w:t xml:space="preserve">Groups outside the study</w:t>
      </w:r>
    </w:p>
    <w:p>
      <w:pPr>
        <w:pStyle w:val="FirstParagraph"/>
      </w:pPr>
      <w:r>
        <w:t xml:space="preserve">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bookmarkEnd w:id="50"/>
    <w:bookmarkEnd w:id="51"/>
    <w:bookmarkStart w:id="52" w:name="inclusion-criteria"/>
    <w:p>
      <w:pPr>
        <w:pStyle w:val="Heading2"/>
      </w:pPr>
      <w:r>
        <w:t xml:space="preserve">7. Inclusion Criteria</w:t>
      </w:r>
    </w:p>
    <w:p>
      <w:pPr>
        <w:pStyle w:val="FirstParagraph"/>
      </w:pPr>
      <w:r>
        <w:t xml:space="preserve">Participants must meet all of the following criteria.</w:t>
      </w:r>
    </w:p>
    <w:p>
      <w:pPr>
        <w:pStyle w:val="Compact"/>
        <w:numPr>
          <w:ilvl w:val="0"/>
          <w:numId w:val="1005"/>
        </w:numPr>
      </w:pPr>
      <w:r>
        <w:t xml:space="preserve">Aged 18 years or over at consent.</w:t>
      </w:r>
    </w:p>
    <w:p>
      <w:pPr>
        <w:pStyle w:val="Compact"/>
        <w:numPr>
          <w:ilvl w:val="0"/>
          <w:numId w:val="1005"/>
        </w:numPr>
      </w:pPr>
      <w:r>
        <w:t xml:space="preserve">Able to read and complete diaries in English.</w:t>
      </w:r>
    </w:p>
    <w:p>
      <w:pPr>
        <w:pStyle w:val="Compact"/>
        <w:numPr>
          <w:ilvl w:val="0"/>
          <w:numId w:val="1005"/>
        </w:numPr>
      </w:pPr>
      <w:r>
        <w:t xml:space="preserve">Able and willing to use the restricted Lazoo app on a personal iOS or Android device for 14 mornings, with Apple Unlisted or Google Play closed-testing access issued by the sponsor.</w:t>
      </w:r>
    </w:p>
    <w:p>
      <w:pPr>
        <w:pStyle w:val="Compact"/>
        <w:numPr>
          <w:ilvl w:val="0"/>
          <w:numId w:val="1005"/>
        </w:numPr>
      </w:pPr>
      <w:r>
        <w:t xml:space="preserve">Willing to complete the CSD-M (as a locked PDF or electronic form only) and then Lazoo each morning for 14 consecutive mornings, in the same sitting.</w:t>
      </w:r>
    </w:p>
    <w:p>
      <w:pPr>
        <w:pStyle w:val="Compact"/>
        <w:numPr>
          <w:ilvl w:val="0"/>
          <w:numId w:val="1005"/>
        </w:numPr>
      </w:pPr>
      <w:r>
        <w:t xml:space="preserve">Able to give informed consent (in writing, or by remote consent approved by the ethics committee) and to be contacted through the study contact given on the participant information sheet.</w:t>
      </w:r>
    </w:p>
    <w:p>
      <w:pPr>
        <w:pStyle w:val="Compact"/>
        <w:numPr>
          <w:ilvl w:val="0"/>
          <w:numId w:val="1005"/>
        </w:numPr>
      </w:pPr>
      <w:r>
        <w:t xml:space="preserve">Consent choice 1 (use the diary) and consent choice 3 (research use of a pseudonymised copy for this protocol) both switched on. Consent choice 4 (future clinical tools or models) is not required and is off for the default analysis population.</w:t>
      </w:r>
    </w:p>
    <w:bookmarkEnd w:id="52"/>
    <w:bookmarkStart w:id="54" w:name="exclusion-criteria"/>
    <w:p>
      <w:pPr>
        <w:pStyle w:val="Heading2"/>
      </w:pPr>
      <w:r>
        <w:t xml:space="preserve">8. Exclusion Criteria</w:t>
      </w:r>
    </w:p>
    <w:p>
      <w:pPr>
        <w:pStyle w:val="FirstParagraph"/>
      </w:pPr>
      <w:r>
        <w:t xml:space="preserve">People who meet any of the following criteria will not be enrolled.</w:t>
      </w:r>
    </w:p>
    <w:p>
      <w:pPr>
        <w:pStyle w:val="Compact"/>
        <w:numPr>
          <w:ilvl w:val="0"/>
          <w:numId w:val="1006"/>
        </w:numPr>
      </w:pPr>
      <w:r>
        <w:t xml:space="preserve">Unable to give informed consent.</w:t>
      </w:r>
    </w:p>
    <w:p>
      <w:pPr>
        <w:pStyle w:val="Compact"/>
        <w:numPr>
          <w:ilvl w:val="0"/>
          <w:numId w:val="1006"/>
        </w:numPr>
      </w:pPr>
      <w:r>
        <w:t xml:space="preserve">Currently taking part in another sleep-diary research study that would duplicate the same nights.</w:t>
      </w:r>
    </w:p>
    <w:p>
      <w:pPr>
        <w:pStyle w:val="Compact"/>
        <w:numPr>
          <w:ilvl w:val="0"/>
          <w:numId w:val="1006"/>
        </w:numPr>
      </w:pPr>
      <w:r>
        <w:t xml:space="preserve">The Chief Investigator or a delegated investigator judges that completing two morning diaries for 14 days would be inappropriate for that person (for example, because of acute distress). The reason is recorded as a file note and not as a diagnosis generated by Lazoo.</w:t>
      </w:r>
    </w:p>
    <w:p>
      <w:pPr>
        <w:pStyle w:val="Compact"/>
        <w:numPr>
          <w:ilvl w:val="0"/>
          <w:numId w:val="1006"/>
        </w:numPr>
      </w:pPr>
      <w:r>
        <w:t xml:space="preserve">Unable to complete entries in English.</w:t>
      </w:r>
    </w:p>
    <w:p>
      <w:pPr>
        <w:pStyle w:val="Compact"/>
        <w:numPr>
          <w:ilvl w:val="0"/>
          <w:numId w:val="1006"/>
        </w:numPr>
      </w:pPr>
      <w:r>
        <w:t xml:space="preserve">No access to a compatible device, or unwilling to use the unlisted or closed-testing app.</w:t>
      </w:r>
    </w:p>
    <w:p>
      <w:pPr>
        <w:pStyle w:val="Compact"/>
        <w:numPr>
          <w:ilvl w:val="0"/>
          <w:numId w:val="1006"/>
        </w:numPr>
      </w:pPr>
      <w:r>
        <w:t xml:space="preserve">Identified through any NHS organisation’s patient lists, or a patient of Sleep &amp; Health Clinic Ltd (08904119).</w:t>
      </w:r>
    </w:p>
    <w:p>
      <w:pPr>
        <w:pStyle w:val="Compact"/>
        <w:numPr>
          <w:ilvl w:val="0"/>
          <w:numId w:val="1006"/>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recruited through Prolific only, on Sleep and Health Clinic App Ltd’s own account, and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Any background information they report about themselves is used for description only.</w:t>
      </w:r>
    </w:p>
    <w:bookmarkStart w:id="53" w:name="withdrawal"/>
    <w:p>
      <w:pPr>
        <w:pStyle w:val="Heading3"/>
      </w:pPr>
      <w:r>
        <w:t xml:space="preserve">Withdrawal</w:t>
      </w:r>
    </w:p>
    <w:p>
      <w:pPr>
        <w:pStyle w:val="FirstParagraph"/>
      </w:pPr>
      <w:r>
        <w:t xml:space="preserve">Participants may withdraw at any time without giving a reason. Withdrawal of consent choice 3 stops any future research use of their data; data already included in a locked analysis set cannot be withdrawn, and the participant information sheet will say so. A participant who stops completing the diaries may choose to keep using the restricted app for personal use under consent choice 1 only. The investigator may stop a participant’s dual diaries for the reasons given in exclusion criterion 3 or section 21. Withdrawn participants are not replaced by reusing their participant ID; screening simply continues towards the feasibility floor. [PLACEHOLDER: sponsor to confirm the data to be retained, and the reason to be recorded, when a participant withdraws]</w:t>
      </w:r>
    </w:p>
    <w:bookmarkEnd w:id="53"/>
    <w:bookmarkEnd w:id="54"/>
    <w:bookmarkStart w:id="55" w:name="study-procedures"/>
    <w:p>
      <w:pPr>
        <w:pStyle w:val="Heading2"/>
      </w:pPr>
      <w:r>
        <w:t xml:space="preserve">9. Study Procedures</w:t>
      </w:r>
    </w:p>
    <w:p>
      <w:pPr>
        <w:pStyle w:val="Compact"/>
        <w:numPr>
          <w:ilvl w:val="0"/>
          <w:numId w:val="1007"/>
        </w:numPr>
      </w:pPr>
      <w:r>
        <w:rPr>
          <w:b/>
          <w:bCs/>
        </w:rPr>
        <w:t xml:space="preserve">Invitation and screening.</w:t>
      </w:r>
      <w:r>
        <w:t xml:space="preserve"> </w:t>
      </w:r>
      <w:r>
        <w:t xml:space="preserve">The volunteer is invited through Prolific, the only recruitment route (see section 6), and screened against the inclusion and exclusion criteria. Each participant receives an ID in the format LAZ-VAL-001-NNN, which is never reused.</w:t>
      </w:r>
    </w:p>
    <w:p>
      <w:pPr>
        <w:pStyle w:val="Compact"/>
        <w:numPr>
          <w:ilvl w:val="0"/>
          <w:numId w:val="1007"/>
        </w:numPr>
      </w:pPr>
      <w:r>
        <w:rPr>
          <w:b/>
          <w:bCs/>
        </w:rPr>
        <w:t xml:space="preserve">Informed consent.</w:t>
      </w:r>
      <w:r>
        <w:t xml:space="preserve"> </w:t>
      </w:r>
      <w:r>
        <w:t xml:space="preserve">Consent is taken electronically only, in line with the joint HRA and MHRA statement on seeking consent electronically. Identity is checked through the participant’s Prolific ID, as attested by Prolific. The participant’s copy of the signed consent form is a downloadable PDF provided in the app at signing and kept in their study account, with a further copy sent through Prolific messaging on request. No email address is held. The version of the consent pack is stored on the user record. The research contact on all participant-facing documents is the sponsor contact, admin@sleepandhealth.org, together with any partner site contact added in the documents approved by the ethics committee. Sponsor documents carry no personal email address and no NHS Patient Advice and Liaison Service (PALS) line.</w:t>
      </w:r>
    </w:p>
    <w:p>
      <w:pPr>
        <w:pStyle w:val="Compact"/>
        <w:numPr>
          <w:ilvl w:val="0"/>
          <w:numId w:val="1007"/>
        </w:numPr>
      </w:pPr>
      <w:r>
        <w:rPr>
          <w:b/>
          <w:bCs/>
        </w:rPr>
        <w:t xml:space="preserve">Study code and login.</w:t>
      </w:r>
      <w:r>
        <w:t xml:space="preserve"> </w:t>
      </w:r>
      <w:r>
        <w:t xml:space="preserve">The participant receives a study code and login. The Lazoo study account is pseudonymous and linked to the Prolific ID only, without an email address, name or telephone number, unless Prolific gives written approval and the data management plan is updated. The app remains unlisted in public stores. The version of the app is checked against the version recorded in the software version log.</w:t>
      </w:r>
    </w:p>
    <w:p>
      <w:pPr>
        <w:pStyle w:val="Compact"/>
        <w:numPr>
          <w:ilvl w:val="0"/>
          <w:numId w:val="1007"/>
        </w:numPr>
      </w:pPr>
      <w:r>
        <w:rPr>
          <w:b/>
          <w:bCs/>
        </w:rPr>
        <w:t xml:space="preserve">Training (day 0).</w:t>
      </w:r>
      <w:r>
        <w:t xml:space="preserve"> </w:t>
      </w:r>
      <w:r>
        <w:t xml:space="preserve">The participant completes one walkthrough of the CSD-M construct fields and of the Lazoo morning diary. The CSD-M is completed as a locked PDF or electronic form only, with no paper copies posted, so that Lazoo cannot pre-fill it. Going to bed (in_bed) and trying to sleep (sleep_attempt) are taught as two different clock times.</w:t>
      </w:r>
    </w:p>
    <w:p>
      <w:pPr>
        <w:pStyle w:val="Compact"/>
        <w:numPr>
          <w:ilvl w:val="0"/>
          <w:numId w:val="1007"/>
        </w:numPr>
      </w:pPr>
      <w:r>
        <w:rPr>
          <w:b/>
          <w:bCs/>
        </w:rPr>
        <w:t xml:space="preserve">Mornings 1 to 14.</w:t>
      </w:r>
      <w:r>
        <w:t xml:space="preserve"> </w:t>
      </w:r>
      <w:r>
        <w:t xml:space="preserve">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pStyle w:val="Compact"/>
        <w:numPr>
          <w:ilvl w:val="0"/>
          <w:numId w:val="1007"/>
        </w:numPr>
      </w:pPr>
      <w:r>
        <w:rPr>
          <w:b/>
          <w:bCs/>
        </w:rPr>
        <w:t xml:space="preserve">Day 15, or the first working day after morning 14.</w:t>
      </w:r>
      <w:r>
        <w:t xml:space="preserve"> </w:t>
      </w:r>
      <w:r>
        <w:t xml:space="preserve">The study team confirms that all completed CSD-M PDFs have been uploaded. The participant completes the System Usability Scale and the three structured usability questions, which have yes or no answers and no free-text boxes, and confirms their wishes about withdrawal of consent choice 3.</w:t>
      </w:r>
    </w:p>
    <w:p>
      <w:pPr>
        <w:pStyle w:val="Compact"/>
        <w:numPr>
          <w:ilvl w:val="0"/>
          <w:numId w:val="1007"/>
        </w:numPr>
      </w:pPr>
      <w:r>
        <w:rPr>
          <w:b/>
          <w:bCs/>
        </w:rPr>
        <w:t xml:space="preserve">Close-out.</w:t>
      </w:r>
      <w:r>
        <w:t xml:space="preserve"> </w:t>
      </w:r>
      <w:r>
        <w:t xml:space="preserve">The study team exports the Lazoo data in JSON and CSV formats and files the export receipt with the case report form. The participant then chooses either to stop study access or to keep using the restricted app for personal use under consent choice 1 only.</w:t>
      </w:r>
    </w:p>
    <w:p>
      <w:pPr>
        <w:pStyle w:val="FirstParagraph"/>
      </w:pPr>
      <w:r>
        <w:t xml:space="preserve">Consent choice 2 (sharing with a nominated clinician) is optional in this study. Any share contains the diary history only, without automated interpretation.</w:t>
      </w:r>
    </w:p>
    <w:p>
      <w:pPr>
        <w:pStyle w:val="BodyText"/>
      </w:pPr>
      <w:r>
        <w:t xml:space="preserve">Deviations, such as completing the diaries in the wrong order, completing Lazoo first, missing a morning or losing a PDF, are logged. A morning on which Lazoo was completed first cannot be evaluated for the primary endpoint unless the statistical analysis plan defines a sensitivity rule for it.</w:t>
      </w:r>
    </w:p>
    <w:bookmarkEnd w:id="55"/>
    <w:bookmarkStart w:id="61" w:name="study-assessments"/>
    <w:p>
      <w:pPr>
        <w:pStyle w:val="Heading2"/>
      </w:pPr>
      <w:r>
        <w:t xml:space="preserve">10. Study Assessments</w:t>
      </w:r>
    </w:p>
    <w:bookmarkStart w:id="56" w:name="csd-m-comparator"/>
    <w:p>
      <w:pPr>
        <w:pStyle w:val="Heading3"/>
      </w:pPr>
      <w:r>
        <w:t xml:space="preserve">CSD-M (comparator)</w:t>
      </w:r>
    </w:p>
    <w:p>
      <w:pPr>
        <w:pStyle w:val="FirstParagraph"/>
      </w:pPr>
      <w:r>
        <w:t xml:space="preserve">Reference: Carney et al., Sleep 2012;35:287–302, doi:10.5665/sleep.1642. The CSD-M is a morning diary. The source document is a locked PDF or electronic form, uploaded electronically by the participant only, and retained in the investigator site file and trial master file only if licensed. The case report form records the construct values (clock times, durations, counts and categorical ratings) using the field map below. Values are transcribed twice, with a discrepancy log, as specified in the data management plan. Worksheets carry the participant’s study ID only, with no names, dates of birth or identifying free text.</w:t>
      </w:r>
    </w:p>
    <w:bookmarkEnd w:id="56"/>
    <w:bookmarkStart w:id="57" w:name="lazoo-version-1-index-diary"/>
    <w:p>
      <w:pPr>
        <w:pStyle w:val="Heading3"/>
      </w:pPr>
      <w:r>
        <w:t xml:space="preserve">Lazoo version 1 (index diary)</w:t>
      </w:r>
    </w:p>
    <w:p>
      <w:pPr>
        <w:pStyle w:val="FirstParagraph"/>
      </w:pPr>
      <w:r>
        <w:t xml:space="preserve">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bookmarkEnd w:id="57"/>
    <w:bookmarkStart w:id="58"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58"/>
    <w:bookmarkStart w:id="59" w:name="usability"/>
    <w:p>
      <w:pPr>
        <w:pStyle w:val="Heading3"/>
      </w:pPr>
      <w:r>
        <w:t xml:space="preserve">Usability</w:t>
      </w:r>
    </w:p>
    <w:p>
      <w:pPr>
        <w:pStyle w:val="FirstParagraph"/>
      </w:pPr>
      <w:r>
        <w:t xml:space="preserve">Usability is measured with the System Usability Scale: 10 items on a 5-point Likert scale, scored from 0 to 100 (Brooke, 1996). Three structured questions, written for this protocol and not part of the CSD-M, are also asked: (1) After training, could you complete the Lazoo morning diary without help? (2) Was anything in Lazoo confusing compared with the PDF diary? (3) Would you be willing to use Lazoo for a longer research period? Each question is answered yes or no, with no free-text box. No interviews are held in this study; a separately consented sub-study could be proposed later by amendment.</w:t>
      </w:r>
    </w:p>
    <w:bookmarkEnd w:id="59"/>
    <w:bookmarkStart w:id="60" w:name="background-information-non-diagnostic"/>
    <w:p>
      <w:pPr>
        <w:pStyle w:val="Heading3"/>
      </w:pPr>
      <w:r>
        <w:t xml:space="preserve">Background information (non-diagnostic)</w:t>
      </w:r>
    </w:p>
    <w:p>
      <w:pPr>
        <w:pStyle w:val="FirstParagraph"/>
      </w:pPr>
      <w:r>
        <w:t xml:space="preserve">The study records age, sex, whether the person currently keeps a sleep diary, and any shift work in the previous 14 days. The case report form records these descriptors in plain language rather than in diagnostic terms, without a diagnostic interview or a coded problem list.</w:t>
      </w:r>
    </w:p>
    <w:bookmarkEnd w:id="60"/>
    <w:bookmarkEnd w:id="61"/>
    <w:bookmarkStart w:id="62"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Timing windows: a morning diary is expected after the main sleep episode, on the same calendar morning. Entries made more than 24 hours late are marked as late. The statistical analysis plan will state whether late entries can still be evaluated for the primary endpoint; the default is that they cannot if either diary was completed after the following night’s sleep_attempt.</w:t>
      </w:r>
    </w:p>
    <w:bookmarkEnd w:id="62"/>
    <w:bookmarkStart w:id="68" w:name="endpoints"/>
    <w:p>
      <w:pPr>
        <w:pStyle w:val="Heading2"/>
      </w:pPr>
      <w:r>
        <w:t xml:space="preserve">12. Endpoints</w:t>
      </w:r>
    </w:p>
    <w:p>
      <w:pPr>
        <w:pStyle w:val="FirstParagraph"/>
      </w:pPr>
      <w:r>
        <w:t xml:space="preserve">For this agreement study, calculated total sleep time is the primary study quantity and not a product claim. The two bedtime clock times are kept separate, and item 8 remains exploratory.</w:t>
      </w:r>
    </w:p>
    <w:bookmarkStart w:id="63" w:name="Xa3d7f1f4450c9c73bbe1daad5a3bdef1ee0f688"/>
    <w:p>
      <w:pPr>
        <w:pStyle w:val="Heading3"/>
      </w:pPr>
      <w:r>
        <w:t xml:space="preserve">Derived quantities (both diaries, same formula)</w:t>
      </w:r>
    </w:p>
    <w:p>
      <w:pPr>
        <w:pStyle w:val="FirstParagraph"/>
      </w:pPr>
      <w:r>
        <w:t xml:space="preserve">Clock times are dates and times on the diary_date, with the previous calendar day allowed for in_bed and sleep_attempt. Durations are in minutes.</w:t>
      </w:r>
    </w:p>
    <w:p>
      <w:pPr>
        <w:pStyle w:val="Compact"/>
        <w:numPr>
          <w:ilvl w:val="0"/>
          <w:numId w:val="1008"/>
        </w:numPr>
      </w:pPr>
      <w:r>
        <w:t xml:space="preserve">TWAK = out_of_bed − wake</w:t>
      </w:r>
    </w:p>
    <w:p>
      <w:pPr>
        <w:pStyle w:val="Compact"/>
        <w:numPr>
          <w:ilvl w:val="0"/>
          <w:numId w:val="1008"/>
        </w:numPr>
      </w:pPr>
      <w:r>
        <w:t xml:space="preserve">TST = (out_of_bed − sleep_attempt) − SOL − WASO − TWAK</w:t>
      </w:r>
    </w:p>
    <w:p>
      <w:pPr>
        <w:pStyle w:val="Compact"/>
        <w:numPr>
          <w:ilvl w:val="0"/>
          <w:numId w:val="1008"/>
        </w:numPr>
      </w:pPr>
      <w:r>
        <w:t xml:space="preserve">TIB = out_of_bed − in_bed</w:t>
      </w:r>
    </w:p>
    <w:p>
      <w:pPr>
        <w:pStyle w:val="Compact"/>
        <w:numPr>
          <w:ilvl w:val="0"/>
          <w:numId w:val="1008"/>
        </w:numPr>
      </w:pPr>
      <w:r>
        <w:t xml:space="preserve">SE = TST / TIB × 100</w:t>
      </w:r>
    </w:p>
    <w:p>
      <w:pPr>
        <w:pStyle w:val="Compact"/>
        <w:numPr>
          <w:ilvl w:val="0"/>
          <w:numId w:val="1008"/>
        </w:numPr>
      </w:pPr>
      <w:r>
        <w:t xml:space="preserve">sleep_onset (derived, not asked as a clock time) = sleep_attempt + SOL</w:t>
      </w:r>
    </w:p>
    <w:p>
      <w:pPr>
        <w:pStyle w:val="FirstParagraph"/>
      </w:pPr>
      <w:r>
        <w:t xml:space="preserve">The fields in_bed and sleep_attempt are always kept as two separate values. Naps and dozes are excluded from night-time total sleep time. Wake after sleep onset is the total of all awakenings except the final one. The primary measure of time awake after final waking (TWAK) uses out_of_bed − wake, rather than CSD-M item 6b. Item 6b (twak_try_min) may be used only in a pre-specified sensitivity analysis, if it is collected.</w:t>
      </w:r>
    </w:p>
    <w:p>
      <w:pPr>
        <w:pStyle w:val="BodyText"/>
      </w:pPr>
      <w:r>
        <w:t xml:space="preserve">A paired morning can be evaluated for the primary endpoint when both diaries record sleep_attempt, sleep onset latency, wake after sleep onset, wake and out_of_bed, and these are internally consistent (out_of_bed ≥ wake ≥ sleep_attempt; sleep onset latency ≥ 0; wake after sleep onset ≥ 0; total sleep time ≥ 0). The field in_bed is required for the secondary analyses of time in bed and sleep efficiency and is collected every morning.</w:t>
      </w:r>
    </w:p>
    <w:bookmarkEnd w:id="63"/>
    <w:bookmarkStart w:id="64" w:name="primary-endpoint"/>
    <w:p>
      <w:pPr>
        <w:pStyle w:val="Heading3"/>
      </w:pPr>
      <w:r>
        <w:t xml:space="preserve">Primary endpoint</w:t>
      </w:r>
    </w:p>
    <w:p>
      <w:pPr>
        <w:pStyle w:val="FirstParagraph"/>
      </w:pPr>
      <w:r>
        <w:t xml:space="preserve">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bookmarkEnd w:id="64"/>
    <w:bookmarkStart w:id="65" w:name="secondary-endpoints"/>
    <w:p>
      <w:pPr>
        <w:pStyle w:val="Heading3"/>
      </w:pPr>
      <w:r>
        <w:t xml:space="preserve">Secondary endpoints</w:t>
      </w:r>
    </w:p>
    <w:p>
      <w:pPr>
        <w:pStyle w:val="Compact"/>
        <w:numPr>
          <w:ilvl w:val="0"/>
          <w:numId w:val="1009"/>
        </w:numPr>
      </w:pPr>
      <w:r>
        <w:t xml:space="preserve">Bland–Altman agreement, and the intraclass correlation coefficient (ICC) by the method set out in the statistical analysis plan, for sleep onset latency, wake after sleep onset, sleep efficiency and awakenings_n.</w:t>
      </w:r>
    </w:p>
    <w:p>
      <w:pPr>
        <w:pStyle w:val="Compact"/>
        <w:numPr>
          <w:ilvl w:val="0"/>
          <w:numId w:val="1009"/>
        </w:numPr>
      </w:pPr>
      <w:r>
        <w:t xml:space="preserve">Completeness: the proportion of mornings with both diaries completed; missing data at item level; and the proportion of participants who are completers (at least 10 of 14 paired mornings that can be evaluated).</w:t>
      </w:r>
    </w:p>
    <w:p>
      <w:pPr>
        <w:pStyle w:val="Compact"/>
        <w:numPr>
          <w:ilvl w:val="0"/>
          <w:numId w:val="1009"/>
        </w:numPr>
      </w:pPr>
      <w:r>
        <w:t xml:space="preserve">Timestamps and audit trail: the proportion of Lazoo entries with both device and server timestamps, and the proportion of edits with who, what and when recorded and the original value retained.</w:t>
      </w:r>
    </w:p>
    <w:p>
      <w:pPr>
        <w:pStyle w:val="Compact"/>
        <w:numPr>
          <w:ilvl w:val="0"/>
          <w:numId w:val="1009"/>
        </w:numPr>
      </w:pPr>
      <w:r>
        <w:t xml:space="preserve">Total System Usability Scale score (0 to 100), and descriptive summaries of the three structured questions.</w:t>
      </w:r>
    </w:p>
    <w:bookmarkEnd w:id="65"/>
    <w:bookmarkStart w:id="66" w:name="exploratory-endpoints"/>
    <w:p>
      <w:pPr>
        <w:pStyle w:val="Heading3"/>
      </w:pPr>
      <w:r>
        <w:t xml:space="preserve">Exploratory endpoints</w:t>
      </w:r>
    </w:p>
    <w:p>
      <w:pPr>
        <w:pStyle w:val="FirstParagraph"/>
      </w:pPr>
      <w:r>
        <w:t xml:space="preserve">Calculated total sleep time compared with tst_subjective (the construct of CSD-M item 8) on each diary, and the difference between the diaries on item 8. Lifestyle text and naps are used as covariates or descriptors only.</w:t>
      </w:r>
    </w:p>
    <w:bookmarkEnd w:id="66"/>
    <w:bookmarkStart w:id="67" w:name="sample-size-justification"/>
    <w:p>
      <w:pPr>
        <w:pStyle w:val="Heading3"/>
      </w:pPr>
      <w:r>
        <w:t xml:space="preserve">Sample size justification</w:t>
      </w:r>
    </w:p>
    <w:p>
      <w:pPr>
        <w:pStyle w:val="FirstParagraph"/>
      </w:pPr>
      <w:r>
        <w:t xml:space="preserve">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pPr>
        <w:pStyle w:val="BodyText"/>
      </w:pPr>
      <w:r>
        <w:t xml:space="preserve">The signed statistical analysis plan and the appointment of the statistician are still to be confirmed: [PLACEHOLDER: target precision for the limits of agreement and the resulting sample size, to be set by the independent statistician].</w:t>
      </w:r>
    </w:p>
    <w:bookmarkEnd w:id="67"/>
    <w:bookmarkEnd w:id="68"/>
    <w:bookmarkStart w:id="71" w:name="safety-reporting"/>
    <w:p>
      <w:pPr>
        <w:pStyle w:val="Heading2"/>
      </w:pPr>
      <w:r>
        <w:t xml:space="preserve">13. Safety Reporting</w:t>
      </w:r>
    </w:p>
    <w:p>
      <w:pPr>
        <w:pStyle w:val="FirstParagraph"/>
      </w:pPr>
      <w:r>
        <w:t xml:space="preserve">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pStyle w:val="BodyText"/>
      </w:pPr>
      <w:r>
        <w:t xml:space="preserve">If a participant reports distress, study staff signpost them to their general practitioner, NHS 111 or Samaritans (116 123). The sponsor’s participant documents give the sponsor’s own contact rather than an NHS Patient Advice and Liaison Service line. Each instance of signposting is recorded on the adverse event and distress log.</w:t>
      </w:r>
    </w:p>
    <w:bookmarkStart w:id="69" w:name="definitions"/>
    <w:p>
      <w:pPr>
        <w:pStyle w:val="Heading3"/>
      </w:pPr>
      <w:r>
        <w:t xml:space="preserve">Definitions</w:t>
      </w:r>
    </w:p>
    <w:p>
      <w:pPr>
        <w:pStyle w:val="FirstParagraph"/>
      </w:pPr>
      <w:r>
        <w:t xml:space="preserve">For this study, an adverse event is any untoward occurrence in a participant that comes to the attention of the Chief Investigator or the partner site’s Principal Investigator between consent and close-out, whether or not it is related to the study procedures; an example is distress while completing the diaries. A serious adverse event is an adverse event that results in death, is life-threatening, requires hospital admission or prolongs an existing admission, results in persistent or significant disability or incapacity, or is otherwise considered medically significant by the investigator. [PLACEHOLDER: sponsor to confirm these standard definitions, and whether device-specific definitions apply once the regulation 16 decision is made]</w:t>
      </w:r>
    </w:p>
    <w:bookmarkEnd w:id="69"/>
    <w:bookmarkStart w:id="70" w:name="recording-and-reporting"/>
    <w:p>
      <w:pPr>
        <w:pStyle w:val="Heading3"/>
      </w:pPr>
      <w:r>
        <w:t xml:space="preserve">Recording and reporting</w:t>
      </w:r>
    </w:p>
    <w:p>
      <w:pPr>
        <w:pStyle w:val="FirstParagraph"/>
      </w:pPr>
      <w:r>
        <w:t xml:space="preserve">Adverse events that come to the attention of the Chief Investigator or the partner site’s Principal Investigator between consent and close-out are recorded with their onset, description, outcome, and relationship to the study procedures. Serious events are notified to the sponsor at admin@sleepandhealth.org within 24 hours of the investigator becoming aware of them, and to the ethics committee where the approved documents require it. The partner site’s obligations to report to the sponsor will be set out in the site agreement.</w:t>
      </w:r>
    </w:p>
    <w:p>
      <w:pPr>
        <w:pStyle w:val="BodyText"/>
      </w:pPr>
      <w:r>
        <w:t xml:space="preserve">The app is not an emergency service, and the participant information sheet will say so in plain language.</w:t>
      </w:r>
    </w:p>
    <w:bookmarkEnd w:id="70"/>
    <w:bookmarkEnd w:id="71"/>
    <w:bookmarkStart w:id="72" w:name="data-management"/>
    <w:p>
      <w:pPr>
        <w:pStyle w:val="Heading2"/>
      </w:pPr>
      <w:r>
        <w:t xml:space="preserve">14. Data Management</w:t>
      </w:r>
    </w:p>
    <w:p>
      <w:pPr>
        <w:pStyle w:val="FirstParagraph"/>
      </w:pPr>
      <w:r>
        <w:t xml:space="preserve">The full rules are set out in the study data management plan (version 0.4, 12 October 2026). This section summarises them.</w:t>
      </w:r>
    </w:p>
    <w:p>
      <w:pPr>
        <w:pStyle w:val="BodyText"/>
      </w:pPr>
      <w:r>
        <w:t xml:space="preserve">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pPr>
        <w:pStyle w:val="BodyText"/>
      </w:pPr>
      <w:r>
        <w:t xml:space="preserve">Identifiable files are held on storage controlled by the sponsor, and the analysis file is pseudonymised. The partner site handles identifiable data only to the extent that the site agreement and the data protection impact assessment permit. By default, consent covers choices 1 and 3 only. Consent choice 4 stays off unless an amendment adds it, and a future model will be trained on these data only with consent choice 4 and a protocol that says so. Files that identify participants are always sent by secure means and never by open email. Identifiable free text stays within Sleep and Health Clinic App Ltd,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takes place; earlier data-sharing notes do not cover this study.</w:t>
      </w:r>
    </w:p>
    <w:p>
      <w:pPr>
        <w:pStyle w:val="BodyText"/>
      </w:pPr>
      <w:r>
        <w:t xml:space="preserve">The data controller for this study is Sleep and Health Clinic App Ltd. UCLH, the intended partner site, still to be confirmed, acts as processor for study data (see section 22), and no agreement is yet in place. Sleep and Health Clinic Ltd is not a controller and receives no identifiable study data.</w:t>
      </w:r>
    </w:p>
    <w:bookmarkEnd w:id="72"/>
    <w:bookmarkStart w:id="78" w:name="statistical-analysis-plan"/>
    <w:p>
      <w:pPr>
        <w:pStyle w:val="Heading2"/>
      </w:pPr>
      <w:r>
        <w:t xml:space="preserve">15. Statistical Analysis Plan</w:t>
      </w:r>
    </w:p>
    <w:p>
      <w:pPr>
        <w:pStyle w:val="FirstParagraph"/>
      </w:pPr>
      <w:r>
        <w:t xml:space="preserve">A separate, signed statistical analysis plan will be filed before the database is locked and before any ethics submission. Until then, the outline below is sufficient to design the case report form and the data management plan, and the signed statistical analysis plan will take precedence over it.</w:t>
      </w:r>
    </w:p>
    <w:bookmarkStart w:id="73" w:name="analysis-populations"/>
    <w:p>
      <w:pPr>
        <w:pStyle w:val="Heading3"/>
      </w:pPr>
      <w:r>
        <w:t xml:space="preserve">Analysis populations</w:t>
      </w:r>
    </w:p>
    <w:p>
      <w:pPr>
        <w:pStyle w:val="FirstParagraph"/>
      </w:pPr>
      <w:r>
        <w:t xml:space="preserve">Three analysis populations are defined: (i) all consented participants; (ii) completers, meaning participants with at least 10 of 14 paired mornings that can be evaluated, who form the feasibility population; and (iii) all paired mornings that can be evaluated.</w:t>
      </w:r>
    </w:p>
    <w:bookmarkEnd w:id="73"/>
    <w:bookmarkStart w:id="74" w:name="primary-analysis"/>
    <w:p>
      <w:pPr>
        <w:pStyle w:val="Heading3"/>
      </w:pPr>
      <w:r>
        <w:t xml:space="preserve">Primary analysis</w:t>
      </w:r>
    </w:p>
    <w:p>
      <w:pPr>
        <w:pStyle w:val="FirstParagraph"/>
      </w:pPr>
      <w:r>
        <w:t xml:space="preserve">The primary analysis is a Bland–Altman analysis of night-level calculated total sleep time (Lazoo minus CSD-M), reporting the mean bias, the standard deviation (SD) of the differences and the 95% limits of agreement. The clustering of nights within each participant will be handled by a method named in the statistical analysis plan, for example the repeated-measures limits of Bland and Altman (2007) or the residual standard deviation from a mixed-effects model.</w:t>
      </w:r>
    </w:p>
    <w:bookmarkEnd w:id="74"/>
    <w:bookmarkStart w:id="75" w:name="secondary-and-other-analyses"/>
    <w:p>
      <w:pPr>
        <w:pStyle w:val="Heading3"/>
      </w:pPr>
      <w:r>
        <w:t xml:space="preserve">Secondary and other analyses</w:t>
      </w:r>
    </w:p>
    <w:p>
      <w:pPr>
        <w:pStyle w:val="FirstParagraph"/>
      </w:pPr>
      <w:r>
        <w:t xml:space="preserve">Secondary agreement analyses use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adjustment for multiplicity unless the statistical analysis plan adds one. The analysis includes no diagnostic cut-points, receiver operating characteristic (ROC) curves or diagnostic-accuracy analyses.</w:t>
      </w:r>
    </w:p>
    <w:bookmarkEnd w:id="75"/>
    <w:bookmarkStart w:id="76" w:name="missing-data"/>
    <w:p>
      <w:pPr>
        <w:pStyle w:val="Heading3"/>
      </w:pPr>
      <w:r>
        <w:t xml:space="preserve">Missing data</w:t>
      </w:r>
    </w:p>
    <w:p>
      <w:pPr>
        <w:pStyle w:val="FirstParagraph"/>
      </w:pPr>
      <w:r>
        <w:t xml:space="preserve">The primary analysis uses the paired mornings that can be evaluated, and clock times are imputed for it only if the statistical analysis plan defines a rule for doing so.</w:t>
      </w:r>
    </w:p>
    <w:bookmarkEnd w:id="76"/>
    <w:bookmarkStart w:id="77" w:name="software-and-responsibility"/>
    <w:p>
      <w:pPr>
        <w:pStyle w:val="Heading3"/>
      </w:pPr>
      <w:r>
        <w:t xml:space="preserve">Software and responsibility</w:t>
      </w:r>
    </w:p>
    <w:p>
      <w:pPr>
        <w:pStyle w:val="FirstParagraph"/>
      </w:pPr>
      <w:r>
        <w:t xml:space="preserve">The statistical software will be named in the statistical analysis plan: [PLACEHOLDER: statistical software and version]. The analysis is conducted by or on behalf of the sponsor, with the primary analysis carried out by the independent statistician. Results and analysis files belong to the sponsor (see section 23).</w:t>
      </w:r>
    </w:p>
    <w:bookmarkEnd w:id="77"/>
    <w:bookmarkEnd w:id="78"/>
    <w:bookmarkStart w:id="86" w:name="ethics-and-regulatory-considerations"/>
    <w:p>
      <w:pPr>
        <w:pStyle w:val="Heading2"/>
      </w:pPr>
      <w:r>
        <w:t xml:space="preserve">16. Ethics and Regulatory Considerations</w:t>
      </w:r>
    </w:p>
    <w:bookmarkStart w:id="79" w:name="research-ethics"/>
    <w:p>
      <w:pPr>
        <w:pStyle w:val="Heading3"/>
      </w:pPr>
      <w:r>
        <w:t xml:space="preserve">Research ethics</w:t>
      </w:r>
    </w:p>
    <w:p>
      <w:pPr>
        <w:pStyle w:val="FirstParagraph"/>
      </w:pPr>
      <w:r>
        <w:t xml:space="preserve">This study is research that produces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will be confirmed. The intended partner site is UCLH, an NHS organisation, still to be confirmed, with no agreement in place; UCLH will be approached once the clinical trials pack is complete, in the role described in section 5. If UCLH is confirmed, the study is expected to need submission through IRAS, review by an NHS research ethics committee (REC) and Health Research Authority (HRA) Approval before the site opens. The HRA decision tools will be run and the outcome filed.</w:t>
      </w:r>
    </w:p>
    <w:bookmarkEnd w:id="79"/>
    <w:bookmarkStart w:id="80" w:name="regulatory-status"/>
    <w:p>
      <w:pPr>
        <w:pStyle w:val="Heading3"/>
      </w:pPr>
      <w:r>
        <w:t xml:space="preserve">Regulatory status</w:t>
      </w:r>
    </w:p>
    <w:p>
      <w:pPr>
        <w:pStyle w:val="FirstParagraph"/>
      </w:pPr>
      <w: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The intended purpose is insomnia monitoring only.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bookmarkEnd w:id="80"/>
    <w:bookmarkStart w:id="81" w:name="X5d102ad421132babee69f9d746c5b86b1b9a325"/>
    <w:p>
      <w:pPr>
        <w:pStyle w:val="Heading3"/>
      </w:pPr>
      <w:r>
        <w:t xml:space="preserve">Reasoning against the monitoring-only purpose (for the sponsor’s decision)</w:t>
      </w:r>
    </w:p>
    <w:p>
      <w:pPr>
        <w:pStyle w:val="FirstParagraph"/>
      </w:pPr>
      <w:r>
        <w:t xml:space="preserve">The reasoning below is an inference that the sponsor will accept or reject. It follows the section headed</w:t>
      </w:r>
      <w:r>
        <w:t xml:space="preserve"> </w:t>
      </w:r>
      <w:r>
        <w:t xml:space="preserve">“If monitoring only”</w:t>
      </w:r>
      <w:r>
        <w:t xml:space="preserve"> </w:t>
      </w:r>
      <w:r>
        <w:t xml:space="preserve">in the research notes on Prolific and the MHRA dated 14 October 2026.</w:t>
      </w:r>
    </w:p>
    <w:p>
      <w:pPr>
        <w:pStyle w:val="BodyText"/>
      </w:pPr>
      <w:r>
        <w:t xml:space="preserve">Regulation 2 of the UK MDR 2002 defines a medical device to include software intended for the monitoring of disease (legislation.gov.uk, read on 12 October 2026). Lazoo’s purpose is the medical monitoring of insomnia, so it falls within that definition, and describing the study as monitoring only does not on its own take it outside the rules on clinical investigations. The inference is that notice under regulation 16 is still likely to be needed, for the same reason as for a diagnostic study: a device that is not yet UKCA-marked would be used by people so that its performance can be assessed for a disease-monitoring purpose.</w:t>
      </w:r>
    </w:p>
    <w:p>
      <w:pPr>
        <w:pStyle w:val="BodyText"/>
      </w:pPr>
      <w:r>
        <w:t xml:space="preserve">On that inference, the likely steps are 60 days’ notice to the MHRA, a research ethics committee opinion before first use, the MHRA’s</w:t>
      </w:r>
      <w:r>
        <w:t xml:space="preserve"> </w:t>
      </w:r>
      <w:r>
        <w:t xml:space="preserve">“no objection”</w:t>
      </w:r>
      <w:r>
        <w:t xml:space="preserve"> </w:t>
      </w:r>
      <w:r>
        <w:t xml:space="preserve">letter, and any HRA Approval and confirmations of NHS capacity and capability. Regulation 29 is not the procedure cited here. The exception in regulation 16(2) for marked devices is not the route used, because Lazoo is not yet UKCA-marked. The MHRA’s notes on its flowchart (23 July 2026) describe an unmarked device used for a medical purpose as notifiable, including where the output is not acted on, and state that data from a study that was not notified would not be usable as evidence of clinical performance for a later UKCA mark.</w:t>
      </w:r>
    </w:p>
    <w:p>
      <w:pPr>
        <w:pStyle w:val="BodyText"/>
      </w:pPr>
      <w:r>
        <w:rPr>
          <w:b/>
          <w:bCs/>
        </w:rPr>
        <w:t xml:space="preserve">Decision for the sponsor.</w:t>
      </w:r>
      <w:r>
        <w:t xml:space="preserve"> </w:t>
      </w:r>
      <w:r>
        <w:t xml:space="preserve">The sponsor will accept or reject this inference and record the outcome as the regulation 16 decision.</w:t>
      </w:r>
    </w:p>
    <w:bookmarkEnd w:id="81"/>
    <w:bookmarkStart w:id="82" w:name="X846989870b0d045b23ea325ede055c4b06ac0f4"/>
    <w:p>
      <w:pPr>
        <w:pStyle w:val="Heading3"/>
      </w:pPr>
      <w:r>
        <w:t xml:space="preserve">Registration and sponsor responsibilities</w:t>
      </w:r>
    </w:p>
    <w:p>
      <w:pPr>
        <w:pStyle w:val="FirstParagraph"/>
      </w:pPr>
      <w:r>
        <w:t xml:space="preserve">The study will be registered on ISRCTN or an equivalent registry before the first participant is enrolled; it is not yet registered. Sleep and Health Clinic App Ltd accepts the sponsor responsibilities set out in the UK Policy Framework for Health and Social Care Research. Duties delegated to the partner site will be set out in the site agreement and the delegation logs, and no sponsor duties are delegated to Sleep and Health Clinic Ltd.</w:t>
      </w:r>
    </w:p>
    <w:bookmarkEnd w:id="82"/>
    <w:bookmarkStart w:id="83" w:name="participant-facing-documents-and-consent"/>
    <w:p>
      <w:pPr>
        <w:pStyle w:val="Heading3"/>
      </w:pPr>
      <w:r>
        <w:t xml:space="preserve">Participant-facing documents and consent</w:t>
      </w:r>
    </w:p>
    <w:p>
      <w:pPr>
        <w:pStyle w:val="FirstParagraph"/>
      </w:pPr>
      <w:r>
        <w:t xml:space="preserve">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bookmarkEnd w:id="83"/>
    <w:bookmarkStart w:id="84" w:name="applicable-standards"/>
    <w:p>
      <w:pPr>
        <w:pStyle w:val="Heading3"/>
      </w:pPr>
      <w:r>
        <w:t xml:space="preserve">Applicable standards</w:t>
      </w:r>
    </w:p>
    <w:p>
      <w:pPr>
        <w:pStyle w:val="FirstParagraph"/>
      </w:pPr>
      <w:r>
        <w:t xml:space="preserve">The UK Policy Framework for Health and Social Care Research applies. ICH E6(R3) is followed as good practice for essential records; the trial master file is not that of a clinical trial of an investigational medicinal product.</w:t>
      </w:r>
    </w:p>
    <w:bookmarkEnd w:id="84"/>
    <w:bookmarkStart w:id="85" w:name="amendments"/>
    <w:p>
      <w:pPr>
        <w:pStyle w:val="Heading3"/>
      </w:pPr>
      <w:r>
        <w:t xml:space="preserve">Amendments</w:t>
      </w:r>
    </w:p>
    <w:p>
      <w:pPr>
        <w:pStyle w:val="FirstParagraph"/>
      </w:pPr>
      <w:r>
        <w:t xml:space="preserve">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bookmarkEnd w:id="85"/>
    <w:bookmarkEnd w:id="86"/>
    <w:bookmarkStart w:id="92" w:name="sponsorship-funding-and-contracts"/>
    <w:p>
      <w:pPr>
        <w:pStyle w:val="Heading2"/>
      </w:pPr>
      <w:r>
        <w:t xml:space="preserve">17. Sponsorship, Funding and Contracts</w:t>
      </w:r>
    </w:p>
    <w:bookmarkStart w:id="87" w:name="sponsorship"/>
    <w:p>
      <w:pPr>
        <w:pStyle w:val="Heading3"/>
      </w:pPr>
      <w:r>
        <w:t xml:space="preserve">Sponsorship</w:t>
      </w:r>
    </w:p>
    <w:p>
      <w:pPr>
        <w:pStyle w:val="FirstParagraph"/>
      </w:pPr>
      <w:r>
        <w:t xml:space="preserve">Sleep and Health Clinic App Ltd (12467350) is the sole sponsor and holds the sponsor role alone, without a co-sponsor or joint sponsor. UCLH, the intended partner site, still to be confirmed, and Sleep and Health Clinic Ltd do not act as sponsor, co-sponsor or legal representative. The role of UCLH is solely that of a paid subcontracted site and data processor for Sleep and Health Clinic App Ltd, separate from any UCLH-sponsored feasibility study, and no agreement is in place.</w:t>
      </w:r>
    </w:p>
    <w:bookmarkEnd w:id="87"/>
    <w:bookmarkStart w:id="88" w:name="sponsor-oversight"/>
    <w:p>
      <w:pPr>
        <w:pStyle w:val="Heading3"/>
      </w:pPr>
      <w:r>
        <w:t xml:space="preserve">Sponsor oversight</w:t>
      </w:r>
    </w:p>
    <w:p>
      <w:pPr>
        <w:pStyle w:val="FirstParagraph"/>
      </w:pPr>
      <w:r>
        <w:t xml:space="preserve">The sponsor holds, or will hold before submission, the documents listed in Appendix O, each shown as signed, draft or not started, with an owner. Sponsor duties are delegated to the partner site only as set out in the site agreement and the delegation log.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bookmarkEnd w:id="88"/>
    <w:bookmarkStart w:id="89" w:name="funding"/>
    <w:p>
      <w:pPr>
        <w:pStyle w:val="Heading3"/>
      </w:pPr>
      <w:r>
        <w:t xml:space="preserve">Funding</w:t>
      </w:r>
    </w:p>
    <w:p>
      <w:pPr>
        <w:pStyle w:val="FirstParagraph"/>
      </w:pPr>
      <w:r>
        <w:t xml:space="preserve">Sleep and Health Clinic App Ltd holds and administers all study funds. As at 11 October 2026 the study is funded internally by the sponsor, and no external grant has been awarded. If external funding is obtained, for example a National Institute for Health and Care Research (NIHR) Invention for Innovation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section 23). The status of any funding application will be confirmed: [PLACEHOLDER: status of any external funding application].</w:t>
      </w:r>
    </w:p>
    <w:p>
      <w:pPr>
        <w:pStyle w:val="BodyText"/>
      </w:pPr>
      <w:r>
        <w:t xml:space="preserve">UCLH, the intended partner site, still to be confirmed, will be paid by the sponsor for services delivered under the site agreement, against a schedule costed through the national costing process. Cost figures and payment terms will be set in that agreement, which has still to be put in place, and study funds reach UCLH only through it. Any consideration for clinical advice from Sleep and Health Clinic Ltd is as set out in the clinical support agreement and will be confirmed before signature.</w:t>
      </w:r>
    </w:p>
    <w:bookmarkEnd w:id="89"/>
    <w:bookmarkStart w:id="90"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 agreement</w:t>
            </w:r>
          </w:p>
        </w:tc>
        <w:tc>
          <w:tcPr/>
          <w:p>
            <w:pPr>
              <w:pStyle w:val="Compact"/>
            </w:pPr>
            <w:r>
              <w:t xml:space="preserve">Sleep and Health Clinic App Ltd and UCLH, the intended NHS partner site, still to be confirmed</w:t>
            </w:r>
          </w:p>
        </w:tc>
        <w:tc>
          <w:tcPr/>
          <w:p>
            <w:pPr>
              <w:pStyle w:val="Compact"/>
            </w:pPr>
            <w:r>
              <w:t xml:space="preserve">Engages UCLH as a subcontracted site paid by the sponsor, in the role of paid subcontracted site and data processor only, separate from any UCLH-sponsored feasibility study. Records sponsor ownership of all intellectual property, data and results; publication subject to sponsor review; confidentiality; data protection; indemnity; and access for monitoring and audit.</w:t>
            </w:r>
          </w:p>
        </w:tc>
        <w:tc>
          <w:tcPr/>
          <w:p>
            <w:pPr>
              <w:pStyle w:val="Compact"/>
            </w:pPr>
            <w:r>
              <w:t xml:space="preserve">Not drafted and not signed; no agreement in place. UCLH will be approached once the clinical trials pack is complete. The agreement will be the current unmodified model Clinical Investigation Agreement (mCIA version 6.0, August 2026; see references 13 and 14). NHS costs will be set through the national costing process, and this protocol states no cost figures.</w:t>
            </w:r>
          </w:p>
        </w:tc>
      </w:tr>
      <w:tr>
        <w:tc>
          <w:tcPr/>
          <w:p>
            <w:pPr>
              <w:pStyle w:val="Compact"/>
            </w:pPr>
            <w:r>
              <w:t xml:space="preserve">Clinical support agreement</w:t>
            </w:r>
          </w:p>
        </w:tc>
        <w:tc>
          <w:tcPr/>
          <w:p>
            <w:pPr>
              <w:pStyle w:val="Compact"/>
            </w:pPr>
            <w:r>
              <w:t xml:space="preserve">Sleep and Health Clinic App Ltd and Sleep and Health Clinic Ltd</w:t>
            </w:r>
          </w:p>
        </w:tc>
        <w:tc>
          <w:tcPr/>
          <w:p>
            <w:pPr>
              <w:pStyle w:val="Compact"/>
            </w:pPr>
            <w:r>
              <w:t xml:space="preserve">Clinical advice only; related-party arrangement</w:t>
            </w:r>
          </w:p>
        </w:tc>
        <w:tc>
          <w:tcPr/>
          <w:p>
            <w:pPr>
              <w:pStyle w:val="Compact"/>
            </w:pPr>
            <w:r>
              <w:t xml:space="preserve">Drafted as version 0.1. To be signed; not yet in force.</w:t>
            </w:r>
          </w:p>
        </w:tc>
      </w:tr>
      <w:tr>
        <w:tc>
          <w:tcPr/>
          <w:p>
            <w:pPr>
              <w:pStyle w:val="Compact"/>
            </w:pPr>
            <w:r>
              <w:t xml:space="preserve">CSD-M industry licence</w:t>
            </w:r>
          </w:p>
        </w:tc>
        <w:tc>
          <w:tcPr/>
          <w:p>
            <w:pPr>
              <w:pStyle w:val="Compact"/>
            </w:pPr>
            <w:r>
              <w:t xml:space="preserve">Sleep and Health Clinic App Ltd and Dr Colleen Carney (copyright holder)</w:t>
            </w:r>
          </w:p>
        </w:tc>
        <w:tc>
          <w:tcPr/>
          <w:p>
            <w:pPr>
              <w:pStyle w:val="Compact"/>
            </w:pPr>
            <w:r>
              <w:t xml:space="preserve">Use of the comparator instrument</w:t>
            </w:r>
          </w:p>
        </w:tc>
        <w:tc>
          <w:tcPr/>
          <w:p>
            <w:pPr>
              <w:pStyle w:val="Compact"/>
            </w:pPr>
            <w:r>
              <w:t xml:space="preserve">Not on file; still to be confirmed.</w:t>
            </w:r>
          </w:p>
        </w:tc>
      </w:tr>
      <w:tr>
        <w:tc>
          <w:tcPr/>
          <w:p>
            <w:pPr>
              <w:pStyle w:val="Compact"/>
            </w:pPr>
            <w:r>
              <w:t xml:space="preserve">Data processing agreements</w:t>
            </w:r>
          </w:p>
        </w:tc>
        <w:tc>
          <w:tcPr/>
          <w:p>
            <w:pPr>
              <w:pStyle w:val="Compact"/>
            </w:pPr>
            <w:r>
              <w:t xml:space="preserve">Sleep and Health Clinic App Ltd and the app-hosting and other vendors</w:t>
            </w:r>
          </w:p>
        </w:tc>
        <w:tc>
          <w:tcPr/>
          <w:p>
            <w:pPr>
              <w:pStyle w:val="Compact"/>
            </w:pPr>
            <w:r>
              <w:t xml:space="preserve">Processing of study data</w:t>
            </w:r>
          </w:p>
        </w:tc>
        <w:tc>
          <w:tcPr/>
          <w:p>
            <w:pPr>
              <w:pStyle w:val="Compact"/>
            </w:pPr>
            <w:r>
              <w:t xml:space="preserve">Will be listed in the data management plan when vendors are contracted.</w:t>
            </w:r>
          </w:p>
        </w:tc>
      </w:tr>
      <w:tr>
        <w:tc>
          <w:tcPr/>
          <w:p>
            <w:pPr>
              <w:pStyle w:val="Compact"/>
            </w:pPr>
            <w:r>
              <w:t xml:space="preserve">Recruitment platform terms</w:t>
            </w:r>
          </w:p>
        </w:tc>
        <w:tc>
          <w:tcPr/>
          <w:p>
            <w:pPr>
              <w:pStyle w:val="Compact"/>
            </w:pPr>
            <w:r>
              <w:t xml:space="preserve">Sleep and Health Clinic App Ltd and Prolific</w:t>
            </w:r>
          </w:p>
        </w:tc>
        <w:tc>
          <w:tcPr/>
          <w:p>
            <w:pPr>
              <w:pStyle w:val="Compact"/>
            </w:pPr>
            <w:r>
              <w:t xml:space="preserve">Only recruitment route, through the sponsor’s own account</w:t>
            </w:r>
          </w:p>
        </w:tc>
        <w:tc>
          <w:tcPr/>
          <w:p>
            <w:pPr>
              <w:pStyle w:val="Compact"/>
            </w:pPr>
            <w:r>
              <w:t xml:space="preserve">Still to be confirmed. Prolific acts as an independent controller of its account data, so no data processing agreement is needed. Its terms will be reviewed and recorded in the data management plan and the data protection impact assessment before recruitment opens; that review is an item owned by the sponsor that will be closed before the Chief Investigator signs.</w:t>
            </w:r>
          </w:p>
        </w:tc>
      </w:tr>
      <w:tr>
        <w:tc>
          <w:tcPr/>
          <w:p>
            <w:pPr>
              <w:pStyle w:val="Compact"/>
            </w:pPr>
            <w:r>
              <w:t xml:space="preserve">Statistician engagement</w:t>
            </w:r>
          </w:p>
        </w:tc>
        <w:tc>
          <w:tcPr/>
          <w:p>
            <w:pPr>
              <w:pStyle w:val="Compact"/>
            </w:pPr>
            <w:r>
              <w:t xml:space="preserve">Sleep and Health Clinic App Ltd and an independent statistician (still to be confirmed)</w:t>
            </w:r>
          </w:p>
        </w:tc>
        <w:tc>
          <w:tcPr/>
          <w:p>
            <w:pPr>
              <w:pStyle w:val="Compact"/>
            </w:pPr>
            <w:r>
              <w:t xml:space="preserve">Statistical analysis plan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t xml:space="preserve">Sleep and Health Clinic App Ltd and an insurer (still to be confirmed)</w:t>
            </w:r>
          </w:p>
        </w:tc>
        <w:tc>
          <w:tcPr/>
          <w:p>
            <w:pPr>
              <w:pStyle w:val="Compact"/>
            </w:pPr>
            <w:r>
              <w:t xml:space="preserve">Sponsor’s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 agreement has been signed and the documents in Appendices K and O that are required before enrolment have been filed.</w:t>
      </w:r>
    </w:p>
    <w:bookmarkEnd w:id="90"/>
    <w:bookmarkStart w:id="91"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the clinical support agreement, which has been drafted, is to be signed and is not yet in force. Dr Sara McNeillis and Mr Terence Hook are directors of both Sleep and Health Clinic App Ltd and Sleep and Health Clinic Ltd. This is a related-party arrangement and it is disclosed. Sleep and Health Clinic Ltd is not a sponsor, site, funder, data controller, processor or independent endorser of Lazoo. It does not recruit participants or provide patient lists, and it neither holds nor receives identifiable study data. Its Care Quality Commission registration, clinical indemnity and complaints route do not cover this study.</w:t>
      </w:r>
    </w:p>
    <w:bookmarkEnd w:id="91"/>
    <w:bookmarkEnd w:id="92"/>
    <w:bookmarkStart w:id="93" w:name="insurance-and-indemnity"/>
    <w:p>
      <w:pPr>
        <w:pStyle w:val="Heading2"/>
      </w:pPr>
      <w:r>
        <w:t xml:space="preserve">18. Insurance and Indemnity</w:t>
      </w:r>
    </w:p>
    <w:p>
      <w:pPr>
        <w:pStyle w:val="FirstParagraph"/>
      </w:pPr>
      <w:r>
        <w:t xml:space="preserve">The working position, pending the sponsor’s decision, is clinical study insurance with no-fault compensation, for which no quotation has yet been obtained. The sponsor will hold clinical study insurance covering its legal liability and will provide no-fault compensation to participants for injury caused by taking part, in line with the compensation guidelines of the Association of British HealthTech Industries. The sponsor will indemnify the partner site in line with the applicable model agreement.</w:t>
      </w:r>
    </w:p>
    <w:p>
      <w:pPr>
        <w:pStyle w:val="BodyText"/>
      </w:pPr>
      <w:r>
        <w:t xml:space="preserve">The insurer, policy and limits will be confirmed, and the quotation must include no-fault compensation: [PLACEHOLDER: insurer, policy number and limits of cover]. A certificate of insurance will be filed before submission. The certificate is not yet on file, and the study will be submitted and will enrol participants only once it has been filed.</w:t>
      </w:r>
    </w:p>
    <w:p>
      <w:pPr>
        <w:pStyle w:val="BodyText"/>
      </w:pPr>
      <w:r>
        <w:t xml:space="preserve">For UCLH (the intended partner site, still to be confirmed, with no agreement in place), indemnity for UCLH’s own staff and activities, and the sponsor’s indemnity to UCLH, will be set out in the site agreement.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each named investigator will be confirmed individually: [PLACEHOLDER: professional indemnity for each named investigator].</w:t>
      </w:r>
    </w:p>
    <w:bookmarkEnd w:id="93"/>
    <w:bookmarkStart w:id="94" w:name="patient-and-public-involvement"/>
    <w:p>
      <w:pPr>
        <w:pStyle w:val="Heading2"/>
      </w:pPr>
      <w:r>
        <w:t xml:space="preserve">19. Patient and Public Involvement</w:t>
      </w:r>
    </w:p>
    <w:p>
      <w:pPr>
        <w:pStyle w:val="FirstParagraph"/>
      </w:pPr>
      <w:r>
        <w:t xml:space="preserve">No patient and public involvement activity had been completed for this study as at 11 October 2026.</w:t>
      </w:r>
    </w:p>
    <w:p>
      <w:pPr>
        <w:pStyle w:val="BodyText"/>
      </w:pPr>
      <w:r>
        <w:t xml:space="preserve">Before any ethics submission, the Chief Investigator will record whether users of the restricted app, or a small group of adults who keep sleep diaries, have commented on the burden of the study (two diaries for 14 mornings), on the wording of the intended purpose and on the signposting text. If no such involvement takes place, the submission will say so. Patient and public contributors are not asked to endorse a clinical claim. [PLACEHOLDER: details of any patient and public involvement completed before submission]</w:t>
      </w:r>
    </w:p>
    <w:bookmarkEnd w:id="94"/>
    <w:bookmarkStart w:id="99" w:name="quality-assurance-and-monitoring"/>
    <w:p>
      <w:pPr>
        <w:pStyle w:val="Heading2"/>
      </w:pPr>
      <w:r>
        <w:t xml:space="preserve">20. Quality Assurance and Monitoring</w:t>
      </w:r>
    </w:p>
    <w:bookmarkStart w:id="95" w:name="monitoring-plan"/>
    <w:p>
      <w:pPr>
        <w:pStyle w:val="Heading3"/>
      </w:pPr>
      <w:r>
        <w:t xml:space="preserve">Monitoring plan</w:t>
      </w:r>
    </w:p>
    <w:p>
      <w:pPr>
        <w:pStyle w:val="FirstParagraph"/>
      </w:pPr>
      <w:r>
        <w:t xml:space="preserve">Sponsor oversight is proportionate to risk. A study monitoring plan will be written from the sponsor’s template and approved before the partner site opens: [PLACEHOLDER: study monitoring plan]. The minimum requirements are set out below.</w:t>
      </w:r>
    </w:p>
    <w:bookmarkEnd w:id="95"/>
    <w:bookmarkStart w:id="96" w:name="site-selection-and-initiation"/>
    <w:p>
      <w:pPr>
        <w:pStyle w:val="Heading3"/>
      </w:pPr>
      <w:r>
        <w:t xml:space="preserve">Site selection and initiation</w:t>
      </w:r>
    </w:p>
    <w:p>
      <w:pPr>
        <w:pStyle w:val="FirstParagraph"/>
      </w:pPr>
      <w:r>
        <w:t xml:space="preserve">For site selection and initiation, the sponsor confirms the partner site’s capability, signs the site agreement, holds a site initiation visit, and confirms that the Principal Investigator and delegated staff are trained on this protocol and in good clinical practice before any study code is issued. The partner site keeps an investigator site file, opened from the sponsor’s template, with a site delegation log signed by the Principal Investigator. The Chief Investigator oversees consent, pairing logs and export receipts.</w:t>
      </w:r>
    </w:p>
    <w:bookmarkEnd w:id="96"/>
    <w:bookmarkStart w:id="97" w:name="monitoring-activities"/>
    <w:p>
      <w:pPr>
        <w:pStyle w:val="Heading3"/>
      </w:pPr>
      <w:r>
        <w:t xml:space="preserve">Monitoring activities</w:t>
      </w:r>
    </w:p>
    <w:p>
      <w:pPr>
        <w:pStyle w:val="FirstParagraph"/>
      </w:pPr>
      <w:r>
        <w:t xml:space="preserve">Every completer’s consent record is checked (100%) for consent choices 1 and 3, the version of the wording and the electronic consent timestamp. The CSD-M constructs are checked from source to case report form for a sample of mornings; while the sample stays at the floor of 30 completers that sample is 100%, unless the monitoring plan specifies otherwise. Monitoring confirms that Lazoo exports contain raw timestamps and an audit trail for any edited field. Completeness is monitored centrally from the pairing log, with on-site or remote monitoring visits to the partner site as set out in the monitoring plan. Monitoring is directed at measurement agreement and data integrity, and diagnostic accuracy is not monitored.</w:t>
      </w:r>
    </w:p>
    <w:bookmarkEnd w:id="97"/>
    <w:bookmarkStart w:id="98" w:name="audit-and-inspection"/>
    <w:p>
      <w:pPr>
        <w:pStyle w:val="Heading3"/>
      </w:pPr>
      <w:r>
        <w:t xml:space="preserve">Audit and inspection</w:t>
      </w:r>
    </w:p>
    <w:p>
      <w:pPr>
        <w:pStyle w:val="FirstParagraph"/>
      </w:pPr>
      <w:r>
        <w:t xml:space="preserve">The site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w:t>
      </w:r>
    </w:p>
    <w:bookmarkEnd w:id="98"/>
    <w:bookmarkEnd w:id="99"/>
    <w:bookmarkStart w:id="100"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Limited to 14 mornings; training; rules for missed mornings; right to withdraw</w:t>
            </w:r>
          </w:p>
        </w:tc>
      </w:tr>
      <w:tr>
        <w:tc>
          <w:tcPr/>
          <w:p>
            <w:pPr>
              <w:pStyle w:val="Compact"/>
            </w:pPr>
            <w:r>
              <w:t xml:space="preserve">Distress when reflecting on sleep</w:t>
            </w:r>
          </w:p>
        </w:tc>
        <w:tc>
          <w:tcPr/>
          <w:p>
            <w:pPr>
              <w:pStyle w:val="Compact"/>
            </w:pPr>
            <w:r>
              <w:t xml:space="preserve">Signposting to the general practitioner, NHS 111 or Samaritans; the investigator may stop the dual diaries</w:t>
            </w:r>
          </w:p>
        </w:tc>
      </w:tr>
      <w:tr>
        <w:tc>
          <w:tcPr/>
          <w:p>
            <w:pPr>
              <w:pStyle w:val="Compact"/>
            </w:pPr>
            <w:r>
              <w:t xml:space="preserve">A diagnostic or therapy claim drawn from this study</w:t>
            </w:r>
          </w:p>
        </w:tc>
        <w:tc>
          <w:tcPr/>
          <w:p>
            <w:pPr>
              <w:pStyle w:val="Compact"/>
            </w:pPr>
            <w:r>
              <w:t xml:space="preserve">No such claim is made; the study objectives and publication plan exclude it; the sponsor reviews outputs for intended-purpose wording</w:t>
            </w:r>
          </w:p>
        </w:tc>
      </w:tr>
      <w:tr>
        <w:tc>
          <w:tcPr/>
          <w:p>
            <w:pPr>
              <w:pStyle w:val="Compact"/>
            </w:pPr>
            <w:r>
              <w:t xml:space="preserve">Breach of the comparator’s copyright</w:t>
            </w:r>
          </w:p>
        </w:tc>
        <w:tc>
          <w:tcPr/>
          <w:p>
            <w:pPr>
              <w:pStyle w:val="Compact"/>
            </w:pPr>
            <w:r>
              <w:t xml:space="preserve">No exact CSD-M question wording or PDF in the trial master file or app until the Carney industry licence has been filed</w:t>
            </w:r>
          </w:p>
        </w:tc>
      </w:tr>
      <w:tr>
        <w:tc>
          <w:tcPr/>
          <w:p>
            <w:pPr>
              <w:pStyle w:val="Compact"/>
            </w:pPr>
            <w:r>
              <w:t xml:space="preserve">Wrong sponsor, or merging of another organisation’s study documents</w:t>
            </w:r>
          </w:p>
        </w:tc>
        <w:tc>
          <w:tcPr/>
          <w:p>
            <w:pPr>
              <w:pStyle w:val="Compact"/>
            </w:pPr>
            <w:r>
              <w:t xml:space="preserve">Sleep and Health Clinic App Ltd (12467350) is the sole sponsor; other studies are kept in separate files</w:t>
            </w:r>
          </w:p>
        </w:tc>
      </w:tr>
      <w:tr>
        <w:tc>
          <w:tcPr/>
          <w:p>
            <w:pPr>
              <w:pStyle w:val="Compact"/>
            </w:pPr>
            <w:r>
              <w:t xml:space="preserve">Partner site claims intellectual property or data</w:t>
            </w:r>
          </w:p>
        </w:tc>
        <w:tc>
          <w:tcPr/>
          <w:p>
            <w:pPr>
              <w:pStyle w:val="Compact"/>
            </w:pPr>
            <w:r>
              <w:t xml:space="preserve">The site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has been signed and the approvals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the clinical support agreement to be signed</w:t>
            </w:r>
          </w:p>
        </w:tc>
      </w:tr>
      <w:tr>
        <w:tc>
          <w:tcPr/>
          <w:p>
            <w:pPr>
              <w:pStyle w:val="Compact"/>
            </w:pPr>
            <w:r>
              <w:t xml:space="preserve">Recruitment from patient lists</w:t>
            </w:r>
          </w:p>
        </w:tc>
        <w:tc>
          <w:tcPr/>
          <w:p>
            <w:pPr>
              <w:pStyle w:val="Compact"/>
            </w:pPr>
            <w:r>
              <w:t xml:space="preserve">Recruitment only through Prolific on the sponsor’s own account; the partner site does not recruit; no recruitment of UCLH patients or of Sleep &amp; Health Clinic Ltd (08904119) patients; exclusion criterion 6 covers any NHS organisation’s patient lists without naming UCLH; any change needs a protocol amendment and ethics approval</w:t>
            </w:r>
          </w:p>
        </w:tc>
      </w:tr>
      <w:tr>
        <w:tc>
          <w:tcPr/>
          <w:p>
            <w:pPr>
              <w:pStyle w:val="Compact"/>
            </w:pPr>
            <w:r>
              <w:t xml:space="preserve">Study data used for model training</w:t>
            </w:r>
          </w:p>
        </w:tc>
        <w:tc>
          <w:tcPr/>
          <w:p>
            <w:pPr>
              <w:pStyle w:val="Compact"/>
            </w:pPr>
            <w:r>
              <w:t xml:space="preserve">Consent choice 4 switched off</w:t>
            </w:r>
          </w:p>
        </w:tc>
      </w:tr>
      <w:tr>
        <w:tc>
          <w:tcPr/>
          <w:p>
            <w:pPr>
              <w:pStyle w:val="Compact"/>
            </w:pPr>
            <w:r>
              <w:t xml:space="preserve">Identifiable data sent by open email</w:t>
            </w:r>
          </w:p>
        </w:tc>
        <w:tc>
          <w:tcPr/>
          <w:p>
            <w:pPr>
              <w:pStyle w:val="Compact"/>
            </w:pPr>
            <w:r>
              <w:t xml:space="preserve">Prohibited; storage rules in the data management plan</w:t>
            </w:r>
          </w:p>
        </w:tc>
      </w:tr>
      <w:tr>
        <w:tc>
          <w:tcPr/>
          <w:p>
            <w:pPr>
              <w:pStyle w:val="Compact"/>
            </w:pPr>
            <w:r>
              <w:t xml:space="preserve">Identifiable free text or study data leaving the sponsor</w:t>
            </w:r>
          </w:p>
        </w:tc>
        <w:tc>
          <w:tcPr/>
          <w:p>
            <w:pPr>
              <w:pStyle w:val="Compact"/>
            </w:pPr>
            <w:r>
              <w:t xml:space="preserve">Identifiable free text stays within the sponsor; any outbound share needs a current data note approved before transfer</w:t>
            </w:r>
          </w:p>
        </w:tc>
      </w:tr>
      <w:tr>
        <w:tc>
          <w:tcPr/>
          <w:p>
            <w:pPr>
              <w:pStyle w:val="Compact"/>
            </w:pPr>
            <w:r>
              <w:t xml:space="preserve">Enrolment without insurance (including no-fault compensation) or without ethics approval</w:t>
            </w:r>
          </w:p>
        </w:tc>
        <w:tc>
          <w:tcPr/>
          <w:p>
            <w:pPr>
              <w:pStyle w:val="Compact"/>
            </w:pPr>
            <w:r>
              <w:t xml:space="preserve">Absolute stop: both must be confirmed before enrolment</w:t>
            </w:r>
          </w:p>
        </w:tc>
      </w:tr>
      <w:tr>
        <w:tc>
          <w:tcPr/>
          <w:p>
            <w:pPr>
              <w:pStyle w:val="Compact"/>
            </w:pPr>
            <w:r>
              <w:t xml:space="preserve">Credentials for the unlisted app reaching a public store</w:t>
            </w:r>
          </w:p>
        </w:tc>
        <w:tc>
          <w:tcPr/>
          <w:p>
            <w:pPr>
              <w:pStyle w:val="Compact"/>
            </w:pPr>
            <w:r>
              <w:t xml:space="preserve">Study codes; distribution through Apple Unlisted or Google Play closed testing only</w:t>
            </w:r>
          </w:p>
        </w:tc>
      </w:tr>
    </w:tbl>
    <w:p>
      <w:pPr>
        <w:pStyle w:val="BodyText"/>
      </w:pPr>
      <w:r>
        <w:t xml:space="preserve">This table is not an ISO 14971 risk management file, a design history file, an artificial intelligence validation report or a clinical evaluation report.</w:t>
      </w:r>
    </w:p>
    <w:bookmarkEnd w:id="100"/>
    <w:bookmarkStart w:id="105" w:name="information-governance-and-uk-gdpr"/>
    <w:p>
      <w:pPr>
        <w:pStyle w:val="Heading2"/>
      </w:pPr>
      <w:r>
        <w:t xml:space="preserve">22. Information Governance and UK GDPR</w:t>
      </w:r>
    </w:p>
    <w:bookmarkStart w:id="101" w:name="roles"/>
    <w:p>
      <w:pPr>
        <w:pStyle w:val="Heading3"/>
      </w:pPr>
      <w:r>
        <w:t xml:space="preserve">Roles</w:t>
      </w:r>
    </w:p>
    <w:p>
      <w:pPr>
        <w:pStyle w:val="FirstParagraph"/>
      </w:pPr>
      <w:r>
        <w:t xml:space="preserve">The sponsor is the controller for all study data. UCLH, the intended partner site, still to be confirmed, processes study data only on the sponsor’s documented instructions, under an agreement made under Article 28 of the UK General Data Protection Regulation (UK GDPR), in its role as paid subcontracted site and data processor for Sleep and Health Clinic App Ltd, separate from any UCLH-sponsored feasibility study. No agreement is yet in place. UCLH is a controller only for its own clinical or corporate records. Identifiable free text stays within Sleep and Health Clinic App Ltd, and any transfer of study data from the sponsor to another party requires a current data note approved by the sponsor before the transfer.</w:t>
      </w:r>
    </w:p>
    <w:p>
      <w:pPr>
        <w:pStyle w:val="BodyText"/>
      </w:pPr>
      <w:r>
        <w:t xml:space="preserve">The controller is Sleep and Health Clinic App Ltd (12467350). Other processors, such as the app host and any supplier of an electronic case report form, will be listed in the data management plan when vendors are contracted. Prolific is an independent controller and not a processor. Prolific does not store answers given outside its platform, its Survey Builder tool is not used for special category data, and Prolific IDs are personal data. Sleep and Health Clinic Ltd has no data-protection role in this study.</w:t>
      </w:r>
    </w:p>
    <w:bookmarkEnd w:id="101"/>
    <w:bookmarkStart w:id="102" w:name="lawful-basis-for-research"/>
    <w:p>
      <w:pPr>
        <w:pStyle w:val="Heading3"/>
      </w:pPr>
      <w:r>
        <w:t xml:space="preserve">Lawful basis for research</w:t>
      </w:r>
    </w:p>
    <w:p>
      <w:pPr>
        <w:pStyle w:val="FirstParagraph"/>
      </w:pP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pStyle w:val="BodyText"/>
      </w:pPr>
      <w:r>
        <w:t xml:space="preserve">The Data Protection Officer will be named and will confirm the lawful basis. The data protection impact assessment, which currently uses consent as its basis, and the participant information sheet will then be updated to match, and both remain pending until that happens. Identifiable research data will be exported only once the data protection impact assessment has been signed. A completed data protection impact assessment is an item owned by the sponsor that will be closed before the Chief Investigator signs.</w:t>
      </w:r>
    </w:p>
    <w:bookmarkEnd w:id="102"/>
    <w:bookmarkStart w:id="103" w:name="rights-of-participants"/>
    <w:p>
      <w:pPr>
        <w:pStyle w:val="Heading3"/>
      </w:pPr>
      <w:r>
        <w:t xml:space="preserve">Rights of participants</w:t>
      </w:r>
    </w:p>
    <w:p>
      <w:pPr>
        <w:pStyle w:val="FirstParagraph"/>
      </w:pPr>
      <w:r>
        <w:t xml:space="preserve">Participants have rights of access and rectification, and may withdraw consent choice 3. Withdrawal of choice 3 stops future research use; data already in a locked analysis set cannot be withdrawn, and the participant information sheet will say so. Retention follows the data management plan, with a default of 10 years after the signed study report.</w:t>
      </w:r>
    </w:p>
    <w:bookmarkEnd w:id="103"/>
    <w:bookmarkStart w:id="104" w:name="transfers-and-nhs-records"/>
    <w:p>
      <w:pPr>
        <w:pStyle w:val="Heading3"/>
      </w:pPr>
      <w:r>
        <w:t xml:space="preserve">Transfers and NHS records</w:t>
      </w:r>
    </w:p>
    <w:p>
      <w:pPr>
        <w:pStyle w:val="FirstParagraph"/>
      </w:pPr>
      <w:r>
        <w:t xml:space="preserve">Study data are stored in the UK by default, and any transfer outside the UK takes place only under a documented mechanism. NHS records that identify patients are not collected.</w:t>
      </w:r>
    </w:p>
    <w:bookmarkEnd w:id="104"/>
    <w:bookmarkEnd w:id="105"/>
    <w:bookmarkStart w:id="106" w:name="intellectual-property-and-data-ownership"/>
    <w:p>
      <w:pPr>
        <w:pStyle w:val="Heading2"/>
      </w:pPr>
      <w:r>
        <w:t xml:space="preserve">23. Intellectual Property and Data Ownership</w:t>
      </w:r>
    </w:p>
    <w:p>
      <w:pPr>
        <w:pStyle w:val="FirstParagraph"/>
      </w:pPr>
      <w:r>
        <w:t xml:space="preserve">Sleep and Health Clinic App Ltd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will be assigned to, the sponsor under the site agreement. The partner site’s licence to use the Lazoo software, the dataset or the results is limited to what is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provided it does not disclose the sponsor’s confidential information. The partner’s rights are set out in the site agreement, and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rPr>
          <w:b/>
          <w:bCs/>
        </w:rPr>
        <w:t xml:space="preserve">Confidentiality.</w:t>
      </w:r>
      <w:r>
        <w:t xml:space="preserve"> </w:t>
      </w:r>
      <w:r>
        <w:t xml:space="preserve">The partner site, its staff and Sleep and Health Clinic Ltd keep confidential all sponsor information, including the protocol, software, data and unpublished results, and use it only for the study. The duration of confidentiality and its exceptions will be confirmed in the agreements.</w:t>
      </w:r>
    </w:p>
    <w:p>
      <w:pPr>
        <w:pStyle w:val="BodyText"/>
      </w:pPr>
      <w:r>
        <w:t xml:space="preserve">The CSD-M remains the copyright of Dr Colleen Carney and co-authors. A licence is a permission to use it and confers no ownership.</w:t>
      </w:r>
    </w:p>
    <w:p>
      <w:pPr>
        <w:pStyle w:val="BodyText"/>
      </w:pPr>
      <w:r>
        <w:t xml:space="preserve">Every app store listing, clinician material and publication will describe this study’s results within the intended purpose, and none may present a diagnostic or therapy claim based on this study.</w:t>
      </w:r>
    </w:p>
    <w:bookmarkEnd w:id="106"/>
    <w:bookmarkStart w:id="114" w:name="dissemination-and-publication"/>
    <w:p>
      <w:pPr>
        <w:pStyle w:val="Heading2"/>
      </w:pPr>
      <w:r>
        <w:t xml:space="preserve">24. Dissemination and Publication</w:t>
      </w:r>
    </w:p>
    <w:bookmarkStart w:id="107" w:name="transparency"/>
    <w:p>
      <w:pPr>
        <w:pStyle w:val="Heading3"/>
      </w:pPr>
      <w:r>
        <w:t xml:space="preserve">Transparency</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and participants will be offered a summary of the results. Sponsor review of draft publications is limited to accuracy, confidential information and patent protection, and will not be used to suppress or delay results beyond the agreed period.</w:t>
      </w:r>
    </w:p>
    <w:bookmarkEnd w:id="107"/>
    <w:bookmarkStart w:id="108" w:name="content-of-publications"/>
    <w:p>
      <w:pPr>
        <w:pStyle w:val="Heading3"/>
      </w:pPr>
      <w:r>
        <w:t xml:space="preserve">Content of publications</w:t>
      </w:r>
    </w:p>
    <w:p>
      <w:pPr>
        <w:pStyle w:val="FirstParagraph"/>
      </w:pPr>
      <w:r>
        <w:t xml:space="preserve">The results will include completer rates, Bland–Altman plots for calculated total sleep time and System Usability Scale scores. The paper will be titled and framed as a study of agreement and usability rather than of diagnostic accuracy. British spelling is used.</w:t>
      </w:r>
    </w:p>
    <w:bookmarkEnd w:id="108"/>
    <w:bookmarkStart w:id="109" w:name="publication-rights-and-review-periods"/>
    <w:p>
      <w:pPr>
        <w:pStyle w:val="Heading3"/>
      </w:pPr>
      <w:r>
        <w:t xml:space="preserve">Publication rights and review periods</w:t>
      </w:r>
    </w:p>
    <w:p>
      <w:pPr>
        <w:pStyle w:val="FirstParagraph"/>
      </w:pPr>
      <w:r>
        <w:t xml:space="preserve">Investigators, including staff at the partner site, may publish or present the study results subject to prior review by the sponsor. Each draft manuscript, abstract or presentation is sent to the sponsor before submission. The sponsor will not prevent or unreasonably delay publication of results, whatever they show.</w:t>
      </w:r>
    </w:p>
    <w:p>
      <w:pPr>
        <w:pStyle w:val="BodyText"/>
      </w:pPr>
      <w:r>
        <w:t xml:space="preserve">For the NHS partner site, the intended site is UCLH, still to be confirmed, with no agreement in place, to be approached once the clinical trials pack is complete. The current HRA model Clinical Investigation Agreement (version 6.0, August 2026, clause 10) applies unmodified; source copies are filed with the sponsor documents (see Appendix O and references 13 and 14). The site submits material to the sponsor for review at least 40 working days before submission for publication, or for any longer period that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these review and patent-delay periods of the unmodified model Clinical Investigation Agreement are the ones that apply.</w:t>
      </w:r>
    </w:p>
    <w:bookmarkEnd w:id="109"/>
    <w:bookmarkStart w:id="110" w:name="further-reporting"/>
    <w:p>
      <w:pPr>
        <w:pStyle w:val="Heading3"/>
      </w:pPr>
      <w:r>
        <w:t xml:space="preserve">Further reporting</w:t>
      </w:r>
    </w:p>
    <w:p>
      <w:pPr>
        <w:pStyle w:val="FirstParagraph"/>
      </w:pPr>
      <w:r>
        <w:t xml:space="preserve">The participant information sheet will say how and when participants are offered the summary of results. If the determination under section 16 is that this is a clinical investigation, the end of the investigation will be notified to the MHRA and the final report provided within one year. If NIHR funds the study, NIHR’s terms on open access and acknowledgement apply in addition to this section.</w:t>
      </w:r>
    </w:p>
    <w:bookmarkEnd w:id="110"/>
    <w:bookmarkStart w:id="111" w:name="authorship"/>
    <w:p>
      <w:pPr>
        <w:pStyle w:val="Heading3"/>
      </w:pPr>
      <w:r>
        <w:t xml:space="preserve">Authorship</w:t>
      </w:r>
    </w:p>
    <w:p>
      <w:pPr>
        <w:pStyle w:val="FirstParagraph"/>
      </w:pPr>
      <w:r>
        <w:t xml:space="preserve">Authorship follows the criteria of the International Committee of Medical Journal Editors. The Chief Investigator is last or corresponding author, as agreed. Related-party interests and sponsor funding are declared in every publication.</w:t>
      </w:r>
    </w:p>
    <w:bookmarkEnd w:id="111"/>
    <w:bookmarkStart w:id="112" w:name="lay-summary"/>
    <w:p>
      <w:pPr>
        <w:pStyle w:val="Heading3"/>
      </w:pPr>
      <w:r>
        <w:t xml:space="preserve">Lay summary</w:t>
      </w:r>
    </w:p>
    <w:p>
      <w:pPr>
        <w:pStyle w:val="FirstParagraph"/>
      </w:pPr>
      <w:r>
        <w:t xml:space="preserve">This study compared app records with a standard morning sleep diary completed as a locked PDF. The results will be shared with participants in plain language within 12 months of the end of the study.</w:t>
      </w:r>
    </w:p>
    <w:bookmarkEnd w:id="112"/>
    <w:bookmarkStart w:id="113" w:name="definition-of-the-end-of-the-study"/>
    <w:p>
      <w:pPr>
        <w:pStyle w:val="Heading3"/>
      </w:pPr>
      <w:r>
        <w:t xml:space="preserve">Definition of the end of the study</w:t>
      </w:r>
    </w:p>
    <w:p>
      <w:pPr>
        <w:pStyle w:val="FirstParagraph"/>
      </w:pPr>
      <w:r>
        <w:t xml:space="preserve">[PLACEHOLDER: definition of the end of the study, for example the day-15 close-out of the last participant or database lock, for the sponsor to confirm]</w:t>
      </w:r>
    </w:p>
    <w:bookmarkEnd w:id="113"/>
    <w:bookmarkEnd w:id="114"/>
    <w:bookmarkStart w:id="119" w:name="study-management-roles-and-delegation"/>
    <w:p>
      <w:pPr>
        <w:pStyle w:val="Heading2"/>
      </w:pPr>
      <w:r>
        <w:t xml:space="preserve">25. Study Management, Roles and Delegation</w:t>
      </w:r>
    </w:p>
    <w:bookmarkStart w:id="115"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Sleep and Health Clinic App Ltd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w:t>
            </w:r>
          </w:p>
        </w:tc>
        <w:tc>
          <w:tcPr/>
          <w:p>
            <w:pPr>
              <w:pStyle w:val="Compact"/>
            </w:pPr>
            <w:r>
              <w:t xml:space="preserve">Overall scientific and clinical conduct; protocol; ethics submission; study-wide delegation log; safety oversight. The appointment is conditional on an independent statistician, an independent oversight member and a sponsor signatory other than Dr Sara McNeillis all being in place.</w:t>
            </w:r>
          </w:p>
        </w:tc>
      </w:tr>
      <w:tr>
        <w:tc>
          <w:tcPr/>
          <w:p>
            <w:pPr>
              <w:pStyle w:val="Compact"/>
            </w:pPr>
            <w:r>
              <w:t xml:space="preserve">UCLH (intended partner site, still to be confirmed)</w:t>
            </w:r>
          </w:p>
        </w:tc>
        <w:tc>
          <w:tcPr/>
          <w:p>
            <w:pPr>
              <w:pStyle w:val="Compact"/>
            </w:pPr>
            <w:r>
              <w:t xml:space="preserve">Subcontracted site paid by the sponsor, in the role of paid subcontracted site and data processor only, separate from any UCLH-sponsored feasibility study. No agreement is in place; UCLH will be approached once the clinical trials pack is complete. Services as defined in the site agreement (proposed: Principal Investigator oversight, screening, consent, study conduct, source data and case report form completion, investigator site file, cooperation with monitoring and audit). No claim on intellectual property. Confidentiality. Publication subject to sponsor review. The site agreement will be the unmodified model Clinical Investigation Agreement version 6.0 (August 2026).</w:t>
            </w:r>
          </w:p>
        </w:tc>
      </w:tr>
      <w:tr>
        <w:tc>
          <w:tcPr/>
          <w:p>
            <w:pPr>
              <w:pStyle w:val="Compact"/>
            </w:pPr>
            <w:r>
              <w:t xml:space="preserve">Principal Investigator, UCLH</w:t>
            </w:r>
          </w:p>
        </w:tc>
        <w:tc>
          <w:tcPr/>
          <w:p>
            <w:pPr>
              <w:pStyle w:val="Compact"/>
            </w:pPr>
            <w:r>
              <w:t xml:space="preserve">To be named once an agreement is in place. Site conduct and the site delegation log.</w:t>
            </w:r>
          </w:p>
        </w:tc>
      </w:tr>
      <w:tr>
        <w:tc>
          <w:tcPr/>
          <w:p>
            <w:pPr>
              <w:pStyle w:val="Compact"/>
            </w:pPr>
            <w:r>
              <w:t xml:space="preserve">Sleep and Health Clinic Ltd (08904119)</w:t>
            </w:r>
          </w:p>
        </w:tc>
        <w:tc>
          <w:tcPr/>
          <w:p>
            <w:pPr>
              <w:pStyle w:val="Compact"/>
            </w:pPr>
            <w:r>
              <w:t xml:space="preserve">Clinical advice to the sponsor only, under the clinical support agreement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as recorded in the sponsor delegation log</w:t>
            </w:r>
          </w:p>
        </w:tc>
      </w:tr>
      <w:tr>
        <w:tc>
          <w:tcPr/>
          <w:p>
            <w:pPr>
              <w:pStyle w:val="Compact"/>
            </w:pPr>
            <w:r>
              <w:t xml:space="preserve">Independent statistician</w:t>
            </w:r>
          </w:p>
        </w:tc>
        <w:tc>
          <w:tcPr/>
          <w:p>
            <w:pPr>
              <w:pStyle w:val="Compact"/>
            </w:pPr>
            <w:r>
              <w:t xml:space="preserve">Not yet appointed (working position, pending sponsor decision). Employed by or connected to neither company. Signs the statistical analysis plan before data lock and runs the primary analysis.</w:t>
            </w:r>
          </w:p>
        </w:tc>
      </w:tr>
      <w:tr>
        <w:tc>
          <w:tcPr/>
          <w:p>
            <w:pPr>
              <w:pStyle w:val="Compact"/>
            </w:pPr>
            <w:r>
              <w:t xml:space="preserve">Independent member, study oversight group</w:t>
            </w:r>
          </w:p>
        </w:tc>
        <w:tc>
          <w:tcPr/>
          <w:p>
            <w:pPr>
              <w:pStyle w:val="Compact"/>
            </w:pPr>
            <w:r>
              <w:t xml:space="preserve">Not yet appointed (working position, pending sponsor decision). Reviews conduct and results before release.</w:t>
            </w:r>
          </w:p>
        </w:tc>
      </w:tr>
      <w:tr>
        <w:tc>
          <w:tcPr/>
          <w:p>
            <w:pPr>
              <w:pStyle w:val="Compact"/>
            </w:pPr>
            <w:r>
              <w:t xml:space="preserve">Named archivist</w:t>
            </w:r>
          </w:p>
        </w:tc>
        <w:tc>
          <w:tcPr/>
          <w:p>
            <w:pPr>
              <w:pStyle w:val="Compact"/>
            </w:pPr>
            <w:r>
              <w:t xml:space="preserve">[PLACEHOLDER: named archivist]; the Chief Investigator holds the duty until one is appointed</w:t>
            </w:r>
          </w:p>
        </w:tc>
      </w:tr>
      <w:tr>
        <w:tc>
          <w:tcPr/>
          <w:p>
            <w:pPr>
              <w:pStyle w:val="Compact"/>
            </w:pPr>
            <w:r>
              <w:t xml:space="preserve">Data Protection Officer (sponsor)</w:t>
            </w:r>
          </w:p>
        </w:tc>
        <w:tc>
          <w:tcPr/>
          <w:p>
            <w:pPr>
              <w:pStyle w:val="Compact"/>
            </w:pPr>
            <w:r>
              <w:t xml:space="preserve">[PLACEHOLDER: Data Protection Officer, not yet named]</w:t>
            </w:r>
          </w:p>
        </w:tc>
      </w:tr>
    </w:tbl>
    <w:bookmarkEnd w:id="115"/>
    <w:bookmarkStart w:id="116" w:name="delegation"/>
    <w:p>
      <w:pPr>
        <w:pStyle w:val="Heading3"/>
      </w:pPr>
      <w:r>
        <w:t xml:space="preserve">Delegation</w:t>
      </w:r>
    </w:p>
    <w:p>
      <w:pPr>
        <w:pStyle w:val="FirstParagraph"/>
      </w:pPr>
      <w:r>
        <w:t xml:space="preserve">Sponsor-level duties are recorded in the sponsor delegation log, and a delegation log specific to this study will be opened in the study folder before any identifiable data are collected. Sponsor duties delegated to the partner site are listed in the site agreement. The partner site’s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once this protocol has been approved.</w:t>
      </w:r>
    </w:p>
    <w:bookmarkEnd w:id="116"/>
    <w:bookmarkStart w:id="117" w:name="conflicts-of-interest"/>
    <w:p>
      <w:pPr>
        <w:pStyle w:val="Heading3"/>
      </w:pPr>
      <w:r>
        <w:t xml:space="preserve">Conflicts of interest</w:t>
      </w:r>
    </w:p>
    <w:p>
      <w:pPr>
        <w:pStyle w:val="FirstParagraph"/>
      </w:pPr>
      <w:r>
        <w:t xml:space="preserve">Dr Sara McNeillis and Mr Terence Hook are directors of both Sleep and Health Clinic App Ltd and Sleep and Health Clinic Ltd. This interest is disclosed to the ethics committee, to participants and to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the IRAS application, on the registry entry and in every publication. Where practical, the sponsor’s approval signature is given by a person other than the Chief Investigator; if that is not possible, the conflict and its mitigation are recorded. Before the clinical support agreement is signed, a board minute will record the related-party interest and the consideration agreed. The independent statistician, the independent oversight member and a sponsor signatory other than the Chief Investigator have not yet been appointed; this is the working position pending the sponsor’s decision.</w:t>
      </w:r>
    </w:p>
    <w:bookmarkEnd w:id="117"/>
    <w:bookmarkStart w:id="118" w:name="study-management-group"/>
    <w:p>
      <w:pPr>
        <w:pStyle w:val="Heading3"/>
      </w:pPr>
      <w:r>
        <w:t xml:space="preserve">Study management group</w:t>
      </w:r>
    </w:p>
    <w:p>
      <w:pPr>
        <w:pStyle w:val="FirstParagraph"/>
      </w:pPr>
      <w:r>
        <w:t xml:space="preserve">The study management group consists of the Chief Investigator, the clinical master file manager, the partner site’s Principal Investigator once appointed, the independent statistician when appointed, and one independent member of the study oversight group when appointed. Meetings are minuted and filed in the study correspondence folder.</w:t>
      </w:r>
    </w:p>
    <w:bookmarkEnd w:id="118"/>
    <w:bookmarkEnd w:id="119"/>
    <w:bookmarkStart w:id="120"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in line with the sponsor’s standard operating procedure for the clinical master file. This is not the statutory archiving period for a clinical trial of an investigational medicinal product. Lazoo has one product layer and one device file.</w:t>
      </w:r>
    </w:p>
    <w:p>
      <w:pPr>
        <w:pStyle w:val="BodyText"/>
      </w:pPr>
      <w:r>
        <w:t xml:space="preserve">The working record is the Lazoo clinical master file. A durable copy is kept on storage controlled by the sponsor once that storage has been authorised: [PLACEHOLDER: authorised durable storage location]. Identifiable participant data are never stored in messaging tools.</w:t>
      </w:r>
    </w:p>
    <w:p>
      <w:pPr>
        <w:pStyle w:val="BodyText"/>
      </w:pPr>
      <w:r>
        <w:t xml:space="preserve">The partner site archives its investigator site file for the period set by the site agreement, which will be confirmed. Access to the archive is limited to the Chief Investigator, the named archivist, the clinical master file manager, the sponsor’s auditors, and the ethics committee or regulator on request. Staff at the partner site see only their own investigator site file.</w:t>
      </w:r>
    </w:p>
    <w:bookmarkEnd w:id="120"/>
    <w:bookmarkStart w:id="121" w:name="references"/>
    <w:p>
      <w:pPr>
        <w:pStyle w:val="Heading2"/>
      </w:pPr>
      <w:r>
        <w:t xml:space="preserve">27. References</w:t>
      </w:r>
    </w:p>
    <w:p>
      <w:pPr>
        <w:pStyle w:val="Compact"/>
        <w:numPr>
          <w:ilvl w:val="0"/>
          <w:numId w:val="1010"/>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10"/>
        </w:numPr>
      </w:pPr>
      <w:r>
        <w:t xml:space="preserve">Maich KHG, Bennion AE, Stewart DW, et al. A comment on the Consensus Sleep Diary. Behav Sleep Med. 2018;16(2):117–134. doi:10.1080/15402002.2016.1173556</w:t>
      </w:r>
    </w:p>
    <w:p>
      <w:pPr>
        <w:pStyle w:val="Compact"/>
        <w:numPr>
          <w:ilvl w:val="0"/>
          <w:numId w:val="1010"/>
        </w:numPr>
      </w:pPr>
      <w:r>
        <w:t xml:space="preserve">Reed DL, Sacco WP. Measuring sleep efficiency: what should the denominator be? J Clin Sleep Med. 2016;12(2):263–266. doi:10.5664/jcsm.5498</w:t>
      </w:r>
    </w:p>
    <w:p>
      <w:pPr>
        <w:pStyle w:val="Compact"/>
        <w:numPr>
          <w:ilvl w:val="0"/>
          <w:numId w:val="1010"/>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10"/>
        </w:numPr>
      </w:pPr>
      <w:r>
        <w:t xml:space="preserve">Bland JM, Altman DG. Agreement between methods of measurement with multiple observations per individual. J Biopharm Stat. 2007;17(4):571–582.</w:t>
      </w:r>
    </w:p>
    <w:p>
      <w:pPr>
        <w:pStyle w:val="Compact"/>
        <w:numPr>
          <w:ilvl w:val="0"/>
          <w:numId w:val="1010"/>
        </w:numPr>
      </w:pPr>
      <w:r>
        <w:t xml:space="preserve">ICH E6(R3) Guideline for Good Clinical Practice. Essential records principle, applied as good practice for non-CTIMP research.</w:t>
      </w:r>
    </w:p>
    <w:p>
      <w:pPr>
        <w:pStyle w:val="Compact"/>
        <w:numPr>
          <w:ilvl w:val="0"/>
          <w:numId w:val="1010"/>
        </w:numPr>
      </w:pPr>
      <w:r>
        <w:t xml:space="preserve">UK Policy Framework for Health and Social Care Research. Health Research Authority.</w:t>
      </w:r>
    </w:p>
    <w:p>
      <w:pPr>
        <w:pStyle w:val="Compact"/>
        <w:numPr>
          <w:ilvl w:val="0"/>
          <w:numId w:val="1010"/>
        </w:numPr>
      </w:pPr>
      <w:r>
        <w:t xml:space="preserve">UK GDPR and Data Protection Act 2018.</w:t>
      </w:r>
    </w:p>
    <w:p>
      <w:pPr>
        <w:pStyle w:val="Compact"/>
        <w:numPr>
          <w:ilvl w:val="0"/>
          <w:numId w:val="1010"/>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10"/>
        </w:numPr>
      </w:pPr>
      <w:r>
        <w:t xml:space="preserve">MHRA. GxP data integrity guidance and definitions (applied as good practice to ePRO-style capture).</w:t>
      </w:r>
    </w:p>
    <w:p>
      <w:pPr>
        <w:pStyle w:val="Compact"/>
        <w:numPr>
          <w:ilvl w:val="0"/>
          <w:numId w:val="1010"/>
        </w:numPr>
      </w:pPr>
      <w:r>
        <w:t xml:space="preserve">ePROVIDE Mapi Research Trust. Consensus Sleep Diary instrument record. https://eprovide.mapi-trust.org/instruments/consensus-sleep-diary</w:t>
      </w:r>
    </w:p>
    <w:p>
      <w:pPr>
        <w:pStyle w:val="Compact"/>
        <w:numPr>
          <w:ilvl w:val="0"/>
          <w:numId w:val="1010"/>
        </w:numPr>
      </w:pPr>
      <w:r>
        <w:t xml:space="preserve">Carney lab. Sleep diary licence information. https://drcolleencarney.com/sleep-diary/</w:t>
      </w:r>
    </w:p>
    <w:p>
      <w:pPr>
        <w:pStyle w:val="Compact"/>
        <w:numPr>
          <w:ilvl w:val="0"/>
          <w:numId w:val="1010"/>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10"/>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10"/>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10"/>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10"/>
        </w:numPr>
      </w:pPr>
      <w:r>
        <w:t xml:space="preserve">Association of British HealthTech Industries. Clinical Investigation Compensation Guidelines (1995), as referenced in the model Clinical Investigation Agreement.</w:t>
      </w:r>
    </w:p>
    <w:p>
      <w:pPr>
        <w:pStyle w:val="FirstParagraph"/>
      </w:pPr>
      <w:r>
        <w:t xml:space="preserve">Related documents in the Lazoo clinical master file: the controlled intended purpose statement; the classification memo; the sponsorship record; the clinical support agreement (to be signed); the sponsor delegation log; the software version log; the research data dictionary; the consent template with its four choices; and the construct map between the CSD-M and Lazoo.</w:t>
      </w:r>
    </w:p>
    <w:bookmarkEnd w:id="121"/>
    <w:bookmarkStart w:id="123"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w:t>
            </w:r>
          </w:p>
        </w:tc>
        <w:tc>
          <w:tcPr/>
          <w:p>
            <w:pPr>
              <w:pStyle w:val="Compact"/>
            </w:pPr>
            <w:r>
              <w:t xml:space="preserve">Filed as the CSD-M field-mapping document; reproduced in section 10</w:t>
            </w:r>
          </w:p>
        </w:tc>
      </w:tr>
      <w:tr>
        <w:tc>
          <w:tcPr/>
          <w:p>
            <w:pPr>
              <w:pStyle w:val="Compact"/>
            </w:pPr>
            <w:r>
              <w:t xml:space="preserve">B. Case report form, version 0.3 (12 October 2026)</w:t>
            </w:r>
          </w:p>
        </w:tc>
        <w:tc>
          <w:tcPr/>
          <w:p>
            <w:pPr>
              <w:pStyle w:val="Compact"/>
            </w:pPr>
            <w:r>
              <w:t xml:space="preserve">Filed. Site code aligned on 11 October 2026: the default volunteer code, or a UCLH code (intended partner site, still to be confirmed) once the site agreement is signed. Eligibility on the case report form includes exclusion criterion 7, pregnancy, excluded from this validation study because use in pregnancy will be evaluated in a separate, dedicated study later (sponsor decision, 13 October 2026).</w:t>
            </w:r>
          </w:p>
        </w:tc>
      </w:tr>
      <w:tr>
        <w:tc>
          <w:tcPr/>
          <w:p>
            <w:pPr>
              <w:pStyle w:val="Compact"/>
            </w:pPr>
            <w:r>
              <w:t xml:space="preserve">C. Data management plan, version 0.4 (12 October 2026)</w:t>
            </w:r>
          </w:p>
        </w:tc>
        <w:tc>
          <w:tcPr/>
          <w:p>
            <w:pPr>
              <w:pStyle w:val="Compact"/>
            </w:pPr>
            <w:r>
              <w:t xml:space="preserve">Filed as a draft. Covers UCLH as the intended processor (still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form (sponsor letterhead, four consent choices, conflicts of interest declared, compensation arrangements, results summary)</w:t>
            </w:r>
          </w:p>
        </w:tc>
        <w:tc>
          <w:tcPr/>
          <w:p>
            <w:pPr>
              <w:pStyle w:val="Compact"/>
            </w:pPr>
            <w:r>
              <w:t xml:space="preserve">Pending. Will be written from the template once the Data Protection Officer has confirmed the lawful basis. [PLACEHOLDER: participant information sheet and consent form]</w:t>
            </w:r>
          </w:p>
        </w:tc>
      </w:tr>
      <w:tr>
        <w:tc>
          <w:tcPr/>
          <w:p>
            <w:pPr>
              <w:pStyle w:val="Compact"/>
            </w:pPr>
            <w:r>
              <w:t xml:space="preserve">E. Licensed CSD-M PDF or exact question wording</w:t>
            </w:r>
          </w:p>
        </w:tc>
        <w:tc>
          <w:tcPr/>
          <w:p>
            <w:pPr>
              <w:pStyle w:val="Compact"/>
            </w:pPr>
            <w:r>
              <w:t xml:space="preserve">Will be filed only once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statistical analysis plan</w:t>
            </w:r>
          </w:p>
        </w:tc>
        <w:tc>
          <w:tcPr/>
          <w:p>
            <w:pPr>
              <w:pStyle w:val="Compact"/>
            </w:pPr>
            <w:r>
              <w:t xml:space="preserve">Still to be confirmed; statistician not yet appointed</w:t>
            </w:r>
          </w:p>
        </w:tc>
      </w:tr>
      <w:tr>
        <w:tc>
          <w:tcPr/>
          <w:p>
            <w:pPr>
              <w:pStyle w:val="Compact"/>
            </w:pPr>
            <w:r>
              <w:t xml:space="preserve">I. Data protection impact assessment</w:t>
            </w:r>
          </w:p>
        </w:tc>
        <w:tc>
          <w:tcPr/>
          <w:p>
            <w:pPr>
              <w:pStyle w:val="Compact"/>
            </w:pPr>
            <w:r>
              <w:t xml:space="preserve">Pending. Short form only; it uses consent as its basis and will be updated to the proposed lawful basis once the Data Protection Officer confirms it. The working position, pending the sponsor’s decision, is legitimate interests, proposed, with the Data Protection Officer to confirm. A completed assessment is an item owned by the sponsor that will be closed before the Chief Investigator signs.</w:t>
            </w:r>
          </w:p>
        </w:tc>
      </w:tr>
      <w:tr>
        <w:tc>
          <w:tcPr/>
          <w:p>
            <w:pPr>
              <w:pStyle w:val="Compact"/>
            </w:pPr>
            <w:r>
              <w:t xml:space="preserve">J. App version record and validation records for the intended purpose</w:t>
            </w:r>
          </w:p>
        </w:tc>
        <w:tc>
          <w:tcPr/>
          <w:p>
            <w:pPr>
              <w:pStyle w:val="Compact"/>
            </w:pPr>
            <w:r>
              <w:t xml:space="preserve">Research-ready version still to be fixed</w:t>
            </w:r>
          </w:p>
        </w:tc>
      </w:tr>
      <w:tr>
        <w:tc>
          <w:tcPr/>
          <w:p>
            <w:pPr>
              <w:pStyle w:val="Compact"/>
            </w:pPr>
            <w:r>
              <w:t xml:space="preserve">K. Partner site file: signed site agreement, Principal Investigator’s CV and evidence of good clinical practice training, site delegation log, site initiation record</w:t>
            </w:r>
          </w:p>
        </w:tc>
        <w:tc>
          <w:tcPr/>
          <w:p>
            <w:pPr>
              <w:pStyle w:val="Compact"/>
            </w:pPr>
            <w:r>
              <w:t xml:space="preserve">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Not drafted and not signed.</w:t>
            </w:r>
          </w:p>
        </w:tc>
      </w:tr>
      <w:tr>
        <w:tc>
          <w:tcPr/>
          <w:p>
            <w:pPr>
              <w:pStyle w:val="Compact"/>
            </w:pPr>
            <w:r>
              <w:t xml:space="preserve">L. Clinical support agreement</w:t>
            </w:r>
          </w:p>
        </w:tc>
        <w:tc>
          <w:tcPr/>
          <w:p>
            <w:pPr>
              <w:pStyle w:val="Compact"/>
            </w:pPr>
            <w:r>
              <w:t xml:space="preserve">Drafted as version 0.1; to be signed</w:t>
            </w:r>
          </w:p>
        </w:tc>
      </w:tr>
      <w:tr>
        <w:tc>
          <w:tcPr/>
          <w:p>
            <w:pPr>
              <w:pStyle w:val="Compact"/>
            </w:pPr>
            <w:r>
              <w:t xml:space="preserve">M. Monitoring plan</w:t>
            </w:r>
          </w:p>
        </w:tc>
        <w:tc>
          <w:tcPr/>
          <w:p>
            <w:pPr>
              <w:pStyle w:val="Compact"/>
            </w:pPr>
            <w:r>
              <w:t xml:space="preserve">Will be written from the sponsor’s template</w:t>
            </w:r>
          </w:p>
        </w:tc>
      </w:tr>
      <w:tr>
        <w:tc>
          <w:tcPr/>
          <w:p>
            <w:pPr>
              <w:pStyle w:val="Compact"/>
            </w:pPr>
            <w:r>
              <w:t xml:space="preserve">N. Artificial intelligence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122"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yet exists.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section 15. The independent statistician is not yet appointed (working position, pending sponsor decision).</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clinical master 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in draft (version 0.1). Study log not yet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assessment is an item owned by the sponsor that will be closed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Name of the Data Protection Officer and the Information Commissioner’s Office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 form</w:t>
            </w:r>
          </w:p>
        </w:tc>
        <w:tc>
          <w:tcPr/>
          <w:p>
            <w:pPr>
              <w:pStyle w:val="Compact"/>
            </w:pPr>
            <w:r>
              <w:t xml:space="preserve">Not started. Awaiting confirmation of the lawful basis</w:t>
            </w:r>
          </w:p>
        </w:tc>
        <w:tc>
          <w:tcPr/>
          <w:p>
            <w:pPr>
              <w:pStyle w:val="Compact"/>
            </w:pPr>
            <w:r>
              <w:t xml:space="preserve">Chief Investigator</w:t>
            </w:r>
          </w:p>
        </w:tc>
      </w:tr>
      <w:tr>
        <w:tc>
          <w:tcPr/>
          <w:p>
            <w:pPr>
              <w:pStyle w:val="Compact"/>
            </w:pPr>
            <w:r>
              <w:t xml:space="preserve">Chief Investigator’s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outcome of the MHRA flowchart</w:t>
            </w:r>
          </w:p>
        </w:tc>
        <w:tc>
          <w:tcPr/>
          <w:p>
            <w:pPr>
              <w:pStyle w:val="Compact"/>
            </w:pPr>
            <w:r>
              <w:t xml:space="preserve">Not started. A recorded regulation 16 decision is an item owned by the sponsor that will be closed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summary of technical documentation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 agreement with UCLH</w:t>
            </w:r>
          </w:p>
        </w:tc>
        <w:tc>
          <w:tcPr/>
          <w:p>
            <w:pPr>
              <w:pStyle w:val="Compact"/>
            </w:pPr>
            <w:r>
              <w:t xml:space="preserve">Not started. 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NHS costs will be set through the national costing process, and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Version record and release note for the research-ready app</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so no data processing agreement is needed. A recorded review of its terms, with a dated copy of Prolific’s terms placed on file, is an item owned by the sponsor that will be closed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its web address and access date (11 October 2026)</w:t>
            </w:r>
          </w:p>
        </w:tc>
        <w:tc>
          <w:tcPr/>
          <w:p>
            <w:pPr>
              <w:pStyle w:val="Compact"/>
            </w:pPr>
            <w:r>
              <w:t xml:space="preserve">Filed in the sponsor-documents folder as 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web address and access date (11 October 2026)</w:t>
            </w:r>
          </w:p>
        </w:tc>
        <w:tc>
          <w:tcPr/>
          <w:p>
            <w:pPr>
              <w:pStyle w:val="Compact"/>
            </w:pPr>
            <w:r>
              <w:t xml:space="preserve">Filed in the sponsor-documents folder as mCIA-v6.0-August-2026-front-page-accessed-2026-10-11.pdf, with sources listed in README-sources.md in the same folder</w:t>
            </w:r>
          </w:p>
        </w:tc>
        <w:tc>
          <w:tcPr/>
          <w:p>
            <w:pPr>
              <w:pStyle w:val="Compact"/>
            </w:pPr>
            <w:r>
              <w:t xml:space="preserve">Clinical master file manager</w:t>
            </w:r>
          </w:p>
        </w:tc>
      </w:tr>
    </w:tbl>
    <w:p>
      <w:pPr>
        <w:pStyle w:val="BodyText"/>
      </w:pPr>
      <w:r>
        <w:t xml:space="preserve">End of protocol LAZ-VAL-001, version 0.5 (12 October 2026).</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