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 note 11 October 2026 (version 0.4): Revised after the research governance review of version 0.3. Added: sponsor oversight wording and a sponsor documents list with status and owner (Appendix O); clinical study insurance with no-fault compensation for participants; Prolific as the default recruitment route; the rules that no identifiable free text leaves Sleep and Health Clinic App Ltd and that any outbound share of study data needs a current data note; the partner site as processor under an Article 28 agreement; legitimate interests proposed as the lawful basis for research processing, for the data protection officer to confirm; partner background-IP and know-how carve-outs; results made public within 12 months, a final report and a participant summary; and conflict-of-interest safeguards. The UK Medical Devices Regulations 2002 citation is corrected to regulation 16. Publication review and patent-delay periods are taken from the current HRA model Clinical Investigation Agreement (version 6.0, August 2026). The intended-purpose alignment (section 3) and the ethics route and clinical-investigation determination (section 16) are unchanged and remain open. Version 0.3 is superseded and kept on file. Earlier dates in this file are kept.</w:t>
      </w:r>
    </w:p>
    <w:p>
      <w:r>
        <w:t>Change note 11 October 2026 (version 0.3): Governance structure revised for intellectual-property reasons, as required by Dr Sara McNeillis. Sleep and Health Clinic App Ltd (12467350) is sponsor and holds the study funding. The hospital or university partner is a subcontracted site, paid by App Ltd under a site/services agreement; the partner is not yet named and appears as “Partner site (to be confirmed)”. All intellectual property, data rights and ownership of results stay with App Ltd;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no therapy claims; pregnancy to be confirmed. The names of earlier research-licence conversations are removed; no organisation is named as a partner. Version 0.2 remains on file. Earlier dates in this file are kept.</w:t>
      </w:r>
    </w:p>
    <w:p>
      <w:pPr>
        <w:pStyle w:val="Title"/>
      </w:pPr>
      <w:r>
        <w:t>Concurrent validity and usability of the Lazoo (SHC Digital Sleep Diary) compared with the Consensus Sleep Diary–Morning (CSD-M) in adults</w:t>
      </w:r>
    </w:p>
    <w:p>
      <w:r>
        <w:t>Sleep and Health Clinic App Ltd — Clinical Research Protocol</w:t>
      </w:r>
    </w:p>
    <w:p>
      <w:r>
        <w:rPr>
          <w:b/>
        </w:rPr>
        <w:t>Document ID:</w:t>
      </w:r>
      <w:r>
        <w:t xml:space="preserve"> LAZ-VAL-001-protocol</w:t>
      </w:r>
    </w:p>
    <w:p>
      <w:r>
        <w:rPr>
          <w:b/>
        </w:rPr>
        <w:t>Version:</w:t>
      </w:r>
      <w:r>
        <w:t xml:space="preserve"> 0.4 draft (not for IRAS; not signed by the Chief Investigator)</w:t>
      </w:r>
    </w:p>
    <w:p>
      <w:r>
        <w:rPr>
          <w:b/>
        </w:rPr>
        <w:t>Date:</w:t>
      </w:r>
      <w:r>
        <w:t xml:space="preserve"> 11 October 2026 (version 0.3: 11 October 2026, superseded; version 0.2: 28 August 2026)</w:t>
      </w:r>
    </w:p>
    <w:p>
      <w:r>
        <w:rPr>
          <w:b/>
        </w:rPr>
        <w:t>Study ID:</w:t>
      </w:r>
      <w:r>
        <w:t xml:space="preserve"> LAZ-VAL-001</w:t>
      </w:r>
    </w:p>
    <w:p>
      <w:r>
        <w:rPr>
          <w:b/>
        </w:rPr>
        <w:t>Sponsor:</w:t>
      </w:r>
      <w:r>
        <w:t xml:space="preserve"> Sleep and Health Clinic App Ltd (company number 12467350)</w:t>
      </w:r>
    </w:p>
    <w:p>
      <w:r>
        <w:rPr>
          <w:b/>
        </w:rPr>
        <w:t>Status:</w:t>
      </w:r>
      <w:r>
        <w:t xml:space="preserve"> Draft for governance review, Chief Investigator review and sponsor sign-off. Do not enrol. Do not submit for ethics review until the items marked “to be confirmed” in the Approvals and Contracts sections, and the sponsor documents in Appendix O, are closed.</w:t>
      </w:r>
    </w:p>
    <w:p>
      <w:r>
        <w:rPr>
          <w:b/>
        </w:rPr>
        <w:t>Confidentiality:</w:t>
      </w:r>
      <w:r>
        <w:t xml:space="preserve"> This protocol contains confidential and proprietary information belonging to Sleep and Health Clinic App Ltd.</w:t>
      </w:r>
    </w:p>
    <w:p>
      <w:r>
        <w:rPr>
          <w:b/>
        </w:rPr>
        <w:t>Draft intended-purpose position (agreed 11 October 2026; final wording to be locked in LAZ-IP-001):</w:t>
      </w:r>
    </w:p>
    <w:p>
      <w:pPr>
        <w:pStyle w:val="BodyText"/>
      </w:pPr>
      <w:r>
        <w:t>Lazoo is software as a medical device, MHRA Class IIa (class 2a) working position, one layer. Draft intended purpose: insomnia diagnosis and monitoring. No therapy claims. Pregnancy in or out of scope: to be confirmed.</w:t>
      </w:r>
    </w:p>
    <w:p>
      <w:r>
        <w:t>This study does not test diagnostic accuracy and makes no clinical claim. See “Intended-Purpose Alignment”.</w:t>
      </w:r>
    </w:p>
    <w:p>
      <w:pPr>
        <w:pStyle w:val="Heading2"/>
      </w:pPr>
      <w:r>
        <w:t>Cover identifiers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Field</w:t>
            </w:r>
          </w:p>
        </w:tc>
        <w:tc>
          <w:tcPr>
            <w:tcW w:type="dxa" w:w="4320"/>
          </w:tcPr>
          <w:p>
            <w:r>
              <w:rPr>
                <w:b/>
              </w:rPr>
            </w:r>
            <w:r>
              <w:rPr>
                <w:b/>
                <w:sz w:val="18"/>
              </w:rPr>
              <w:t>Value</w:t>
            </w:r>
          </w:p>
        </w:tc>
      </w:tr>
      <w:tr>
        <w:tc>
          <w:tcPr>
            <w:tcW w:type="dxa" w:w="4320"/>
          </w:tcPr>
          <w:p>
            <w:r/>
            <w:r>
              <w:rPr>
                <w:sz w:val="18"/>
              </w:rPr>
              <w:t>Study Title</w:t>
            </w:r>
          </w:p>
        </w:tc>
        <w:tc>
          <w:tcPr>
            <w:tcW w:type="dxa" w:w="4320"/>
          </w:tcPr>
          <w:p>
            <w:r/>
            <w:r>
              <w:rPr>
                <w:sz w:val="18"/>
              </w:rPr>
              <w:t>Concurrent validity and usability of the Lazoo (SHC Digital Sleep Diary) compared with the Consensus Sleep Diary–Morning (CSD-M) in adults</w:t>
            </w:r>
          </w:p>
        </w:tc>
      </w:tr>
      <w:tr>
        <w:tc>
          <w:tcPr>
            <w:tcW w:type="dxa" w:w="4320"/>
          </w:tcPr>
          <w:p>
            <w:r/>
            <w:r>
              <w:rPr>
                <w:sz w:val="18"/>
              </w:rPr>
              <w:t>Protocol Number</w:t>
            </w:r>
          </w:p>
        </w:tc>
        <w:tc>
          <w:tcPr>
            <w:tcW w:type="dxa" w:w="4320"/>
          </w:tcPr>
          <w:p>
            <w:r/>
            <w:r>
              <w:rPr>
                <w:sz w:val="18"/>
              </w:rPr>
              <w:t>LAZ-VAL-001</w:t>
            </w:r>
          </w:p>
        </w:tc>
      </w:tr>
      <w:tr>
        <w:tc>
          <w:tcPr>
            <w:tcW w:type="dxa" w:w="4320"/>
          </w:tcPr>
          <w:p>
            <w:r/>
            <w:r>
              <w:rPr>
                <w:sz w:val="18"/>
              </w:rPr>
              <w:t>Version</w:t>
            </w:r>
          </w:p>
        </w:tc>
        <w:tc>
          <w:tcPr>
            <w:tcW w:type="dxa" w:w="4320"/>
          </w:tcPr>
          <w:p>
            <w:r/>
            <w:r>
              <w:rPr>
                <w:sz w:val="18"/>
              </w:rPr>
              <w:t>0.4</w:t>
            </w:r>
          </w:p>
        </w:tc>
      </w:tr>
      <w:tr>
        <w:tc>
          <w:tcPr>
            <w:tcW w:type="dxa" w:w="4320"/>
          </w:tcPr>
          <w:p>
            <w:r/>
            <w:r>
              <w:rPr>
                <w:sz w:val="18"/>
              </w:rPr>
              <w:t>Date</w:t>
            </w:r>
          </w:p>
        </w:tc>
        <w:tc>
          <w:tcPr>
            <w:tcW w:type="dxa" w:w="4320"/>
          </w:tcPr>
          <w:p>
            <w:r/>
            <w:r>
              <w:rPr>
                <w:sz w:val="18"/>
              </w:rPr>
              <w:t>11 October 2026</w:t>
            </w:r>
          </w:p>
        </w:tc>
      </w:tr>
      <w:tr>
        <w:tc>
          <w:tcPr>
            <w:tcW w:type="dxa" w:w="4320"/>
          </w:tcPr>
          <w:p>
            <w:r/>
            <w:r>
              <w:rPr>
                <w:sz w:val="18"/>
              </w:rPr>
              <w:t>Sponsor</w:t>
            </w:r>
          </w:p>
        </w:tc>
        <w:tc>
          <w:tcPr>
            <w:tcW w:type="dxa" w:w="4320"/>
          </w:tcPr>
          <w:p>
            <w:r/>
            <w:r>
              <w:rPr>
                <w:sz w:val="18"/>
              </w:rPr>
              <w:t>Sleep and Health Clinic App Ltd (12467350). Sole sponsor.</w:t>
            </w:r>
          </w:p>
        </w:tc>
      </w:tr>
      <w:tr>
        <w:tc>
          <w:tcPr>
            <w:tcW w:type="dxa" w:w="4320"/>
          </w:tcPr>
          <w:p>
            <w:r/>
            <w:r>
              <w:rPr>
                <w:sz w:val="18"/>
              </w:rPr>
              <w:t>Funder</w:t>
            </w:r>
          </w:p>
        </w:tc>
        <w:tc>
          <w:tcPr>
            <w:tcW w:type="dxa" w:w="4320"/>
          </w:tcPr>
          <w:p>
            <w:r/>
            <w:r>
              <w:rPr>
                <w:sz w:val="18"/>
              </w:rPr>
              <w:t>Sleep and Health Clinic App Ltd (12467350), which holds and administers all study funds. No external grant has been awarded as at 11 October 2026.</w:t>
            </w:r>
          </w:p>
        </w:tc>
      </w:tr>
      <w:tr>
        <w:tc>
          <w:tcPr>
            <w:tcW w:type="dxa" w:w="4320"/>
          </w:tcPr>
          <w:p>
            <w:r/>
            <w:r>
              <w:rPr>
                <w:sz w:val="18"/>
              </w:rPr>
              <w:t>Chief Investigator</w:t>
            </w:r>
          </w:p>
        </w:tc>
        <w:tc>
          <w:tcPr>
            <w:tcW w:type="dxa" w:w="4320"/>
          </w:tcPr>
          <w:p>
            <w:r/>
            <w:r>
              <w:rPr>
                <w:sz w:val="18"/>
              </w:rPr>
              <w:t>Dr Sara McNeillis (GMC 4118686) — proposed; not yet signed. Director of the sponsor (see Conflicts of Interest).</w:t>
            </w:r>
          </w:p>
        </w:tc>
      </w:tr>
      <w:tr>
        <w:tc>
          <w:tcPr>
            <w:tcW w:type="dxa" w:w="4320"/>
          </w:tcPr>
          <w:p>
            <w:r/>
            <w:r>
              <w:rPr>
                <w:sz w:val="18"/>
              </w:rPr>
              <w:t>Study site</w:t>
            </w:r>
          </w:p>
        </w:tc>
        <w:tc>
          <w:tcPr>
            <w:tcW w:type="dxa" w:w="4320"/>
          </w:tcPr>
          <w:p>
            <w:r/>
            <w:r>
              <w:rPr>
                <w:sz w:val="18"/>
              </w:rPr>
              <w:t>Partner site (to be confirmed): a hospital or university organisation engaged as a subcontracted site, paid by the sponsor under a site/services agreement.</w:t>
            </w:r>
          </w:p>
        </w:tc>
      </w:tr>
      <w:tr>
        <w:tc>
          <w:tcPr>
            <w:tcW w:type="dxa" w:w="4320"/>
          </w:tcPr>
          <w:p>
            <w:r/>
            <w:r>
              <w:rPr>
                <w:sz w:val="18"/>
              </w:rPr>
              <w:t>Principal Investigator (Partner site)</w:t>
            </w:r>
          </w:p>
        </w:tc>
        <w:tc>
          <w:tcPr>
            <w:tcW w:type="dxa" w:w="4320"/>
          </w:tcPr>
          <w:p>
            <w:r/>
            <w:r>
              <w:rPr>
                <w:sz w:val="18"/>
              </w:rPr>
              <w:t>To be confirmed once the Partner site is contracted</w:t>
            </w:r>
          </w:p>
        </w:tc>
      </w:tr>
      <w:tr>
        <w:tc>
          <w:tcPr>
            <w:tcW w:type="dxa" w:w="4320"/>
          </w:tcPr>
          <w:p>
            <w:r/>
            <w:r>
              <w:rPr>
                <w:sz w:val="18"/>
              </w:rPr>
              <w:t>Clinical advice</w:t>
            </w:r>
          </w:p>
        </w:tc>
        <w:tc>
          <w:tcPr>
            <w:tcW w:type="dxa" w:w="4320"/>
          </w:tcPr>
          <w:p>
            <w:r/>
            <w:r>
              <w:rPr>
                <w:sz w:val="18"/>
              </w:rPr>
              <w:t>Sleep and Health Clinic Ltd (08904119), advice only, under LAZ-AGR-001 (drafted; to be signed). Not a sponsor, site or funder.</w:t>
            </w:r>
          </w:p>
        </w:tc>
      </w:tr>
      <w:tr>
        <w:tc>
          <w:tcPr>
            <w:tcW w:type="dxa" w:w="4320"/>
          </w:tcPr>
          <w:p>
            <w:r/>
            <w:r>
              <w:rPr>
                <w:sz w:val="18"/>
              </w:rPr>
              <w:t>IRAS / REC</w:t>
            </w:r>
          </w:p>
        </w:tc>
        <w:tc>
          <w:tcPr>
            <w:tcW w:type="dxa" w:w="4320"/>
          </w:tcPr>
          <w:p>
            <w:r/>
            <w:r>
              <w:rPr>
                <w:sz w:val="18"/>
              </w:rPr>
              <w:t>Not submitted. No IRAS ID. No REC opinion. Route to be confirmed (see Ethics and Regulatory Considerations).</w:t>
            </w:r>
          </w:p>
        </w:tc>
      </w:tr>
      <w:tr>
        <w:tc>
          <w:tcPr>
            <w:tcW w:type="dxa" w:w="4320"/>
          </w:tcPr>
          <w:p>
            <w:r/>
            <w:r>
              <w:rPr>
                <w:sz w:val="18"/>
              </w:rPr>
              <w:t>Recruitment route</w:t>
            </w:r>
          </w:p>
        </w:tc>
        <w:tc>
          <w:tcPr>
            <w:tcW w:type="dxa" w:w="4320"/>
          </w:tcPr>
          <w:p>
            <w:r/>
            <w:r>
              <w:rPr>
                <w:sz w:val="18"/>
              </w:rPr>
              <w:t>Prolific (default), through the sponsor’s own account. No patient lists.</w:t>
            </w:r>
          </w:p>
        </w:tc>
      </w:tr>
    </w:tbl>
    <w:p/>
    <w:p>
      <w:pPr>
        <w:pStyle w:val="Heading1"/>
      </w:pPr>
      <w:r>
        <w:t>Protocol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Version</w:t>
            </w:r>
          </w:p>
        </w:tc>
        <w:tc>
          <w:tcPr>
            <w:tcW w:type="dxa" w:w="2160"/>
          </w:tcPr>
          <w:p>
            <w:r>
              <w:rPr>
                <w:b/>
              </w:rPr>
            </w:r>
            <w:r>
              <w:rPr>
                <w:b/>
                <w:sz w:val="18"/>
              </w:rPr>
              <w:t>Date</w:t>
            </w:r>
          </w:p>
        </w:tc>
        <w:tc>
          <w:tcPr>
            <w:tcW w:type="dxa" w:w="2160"/>
          </w:tcPr>
          <w:p>
            <w:r>
              <w:rPr>
                <w:b/>
              </w:rPr>
            </w:r>
            <w:r>
              <w:rPr>
                <w:b/>
                <w:sz w:val="18"/>
              </w:rPr>
              <w:t>Author</w:t>
            </w:r>
          </w:p>
        </w:tc>
        <w:tc>
          <w:tcPr>
            <w:tcW w:type="dxa" w:w="2160"/>
          </w:tcPr>
          <w:p>
            <w:r>
              <w:rPr>
                <w:b/>
              </w:rPr>
            </w:r>
            <w:r>
              <w:rPr>
                <w:b/>
                <w:sz w:val="18"/>
              </w:rPr>
              <w:t>Change</w:t>
            </w:r>
          </w:p>
        </w:tc>
      </w:tr>
      <w:tr>
        <w:tc>
          <w:tcPr>
            <w:tcW w:type="dxa" w:w="2160"/>
          </w:tcPr>
          <w:p>
            <w:r/>
            <w:r>
              <w:rPr>
                <w:sz w:val="18"/>
              </w:rPr>
              <w:t>0.1</w:t>
            </w:r>
          </w:p>
        </w:tc>
        <w:tc>
          <w:tcPr>
            <w:tcW w:type="dxa" w:w="2160"/>
          </w:tcPr>
          <w:p>
            <w:r/>
            <w:r>
              <w:rPr>
                <w:sz w:val="18"/>
              </w:rPr>
              <w:t>28 August 2026</w:t>
            </w:r>
          </w:p>
        </w:tc>
        <w:tc>
          <w:tcPr>
            <w:tcW w:type="dxa" w:w="2160"/>
          </w:tcPr>
          <w:p>
            <w:r/>
            <w:r>
              <w:rPr>
                <w:sz w:val="18"/>
              </w:rPr>
              <w:t>Clinical research assistant</w:t>
            </w:r>
          </w:p>
        </w:tc>
        <w:tc>
          <w:tcPr>
            <w:tcW w:type="dxa" w:w="2160"/>
          </w:tcPr>
          <w:p>
            <w:r/>
            <w:r>
              <w:rPr>
                <w:sz w:val="18"/>
              </w:rPr>
              <w:t>Outline only (separate file 00-protocol-outline.md). Not this document.</w:t>
            </w:r>
          </w:p>
        </w:tc>
      </w:tr>
      <w:tr>
        <w:tc>
          <w:tcPr>
            <w:tcW w:type="dxa" w:w="2160"/>
          </w:tcPr>
          <w:p>
            <w:r/>
            <w:r>
              <w:rPr>
                <w:sz w:val="18"/>
              </w:rPr>
              <w:t>0.2</w:t>
            </w:r>
          </w:p>
        </w:tc>
        <w:tc>
          <w:tcPr>
            <w:tcW w:type="dxa" w:w="2160"/>
          </w:tcPr>
          <w:p>
            <w:r/>
            <w:r>
              <w:rPr>
                <w:sz w:val="18"/>
              </w:rPr>
              <w:t>28 August 2026</w:t>
            </w:r>
          </w:p>
        </w:tc>
        <w:tc>
          <w:tcPr>
            <w:tcW w:type="dxa" w:w="2160"/>
          </w:tcPr>
          <w:p>
            <w:r/>
            <w:r>
              <w:rPr>
                <w:sz w:val="18"/>
              </w:rPr>
              <w:t>Clinical research assistant</w:t>
            </w:r>
          </w:p>
        </w:tc>
        <w:tc>
          <w:tcPr>
            <w:tcW w:type="dxa" w:w="2160"/>
          </w:tcPr>
          <w:p>
            <w:r/>
            <w:r>
              <w:rPr>
                <w:sz w:val="18"/>
              </w:rPr>
              <w:t>First full protocol on the App Ltd shell. Calculated-TST primary endpoint, CSD-M mapping by construct, feasibility floor of 30 completers pending SAP, licence conversations listed as conversations, not sites. Not for IRAS.</w:t>
            </w:r>
          </w:p>
        </w:tc>
      </w:tr>
      <w:tr>
        <w:tc>
          <w:tcPr>
            <w:tcW w:type="dxa" w:w="2160"/>
          </w:tcPr>
          <w:p>
            <w:r/>
            <w:r>
              <w:rPr>
                <w:sz w:val="18"/>
              </w:rPr>
              <w:t>0.2 (change note)</w:t>
            </w:r>
          </w:p>
        </w:tc>
        <w:tc>
          <w:tcPr>
            <w:tcW w:type="dxa" w:w="2160"/>
          </w:tcPr>
          <w:p>
            <w:r/>
            <w:r>
              <w:rPr>
                <w:sz w:val="18"/>
              </w:rPr>
              <w:t>3 October 2026</w:t>
            </w:r>
          </w:p>
        </w:tc>
        <w:tc>
          <w:tcPr>
            <w:tcW w:type="dxa" w:w="2160"/>
          </w:tcPr>
          <w:p>
            <w:r/>
            <w:r>
              <w:rPr>
                <w:sz w:val="18"/>
              </w:rPr>
              <w:t>Clinical research assistant</w:t>
            </w:r>
          </w:p>
        </w:tc>
        <w:tc>
          <w:tcPr>
            <w:tcW w:type="dxa" w:w="2160"/>
          </w:tcPr>
          <w:p>
            <w:r/>
            <w:r>
              <w:rPr>
                <w:sz w:val="18"/>
              </w:rPr>
              <w:t>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tcW w:type="dxa" w:w="2160"/>
          </w:tcPr>
          <w:p>
            <w:r/>
            <w:r>
              <w:rPr>
                <w:sz w:val="18"/>
              </w:rPr>
              <w:t>0.2 (change note)</w:t>
            </w:r>
          </w:p>
        </w:tc>
        <w:tc>
          <w:tcPr>
            <w:tcW w:type="dxa" w:w="2160"/>
          </w:tcPr>
          <w:p>
            <w:r/>
            <w:r>
              <w:rPr>
                <w:sz w:val="18"/>
              </w:rPr>
              <w:t>5 October 2026</w:t>
            </w:r>
          </w:p>
        </w:tc>
        <w:tc>
          <w:tcPr>
            <w:tcW w:type="dxa" w:w="2160"/>
          </w:tcPr>
          <w:p>
            <w:r/>
            <w:r>
              <w:rPr>
                <w:sz w:val="18"/>
              </w:rPr>
              <w:t>Clinical research assistant</w:t>
            </w:r>
          </w:p>
        </w:tc>
        <w:tc>
          <w:tcPr>
            <w:tcW w:type="dxa" w:w="2160"/>
          </w:tcPr>
          <w:p>
            <w:r/>
            <w:r>
              <w:rPr>
                <w:sz w:val="18"/>
              </w:rPr>
              <w:t>Change note 5 October 2026: Sara McNeillis lock. Working position is MHRA SaMD Class IIa (class 2a), one layer only. This replaces the 3 October 2026 Class IIb working position. Purpose, claims and pregnancy left to be confirmed.</w:t>
            </w:r>
          </w:p>
        </w:tc>
      </w:tr>
      <w:tr>
        <w:tc>
          <w:tcPr>
            <w:tcW w:type="dxa" w:w="2160"/>
          </w:tcPr>
          <w:p>
            <w:r/>
            <w:r>
              <w:rPr>
                <w:sz w:val="18"/>
              </w:rPr>
              <w:t>0.3</w:t>
            </w:r>
          </w:p>
        </w:tc>
        <w:tc>
          <w:tcPr>
            <w:tcW w:type="dxa" w:w="2160"/>
          </w:tcPr>
          <w:p>
            <w:r/>
            <w:r>
              <w:rPr>
                <w:sz w:val="18"/>
              </w:rPr>
              <w:t>11 October 2026</w:t>
            </w:r>
          </w:p>
        </w:tc>
        <w:tc>
          <w:tcPr>
            <w:tcW w:type="dxa" w:w="2160"/>
          </w:tcPr>
          <w:p>
            <w:r/>
            <w:r>
              <w:rPr>
                <w:sz w:val="18"/>
              </w:rPr>
              <w:t>Clinical research assistant</w:t>
            </w:r>
          </w:p>
        </w:tc>
        <w:tc>
          <w:tcPr>
            <w:tcW w:type="dxa" w:w="2160"/>
          </w:tcPr>
          <w:p>
            <w:r/>
            <w:r>
              <w:rPr>
                <w:sz w:val="18"/>
              </w:rPr>
              <w:t>Governance restructure for intellectual-property reasons: App Ltd sole sponsor and fund holder; Partner site (to be confirmed) as a subcontracted, sponsor-paid site; all intellectual property, data and results owned by App Ltd;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no therapy claims). Approvals, monitoring and appendices updated. Superseded by version 0.4.</w:t>
            </w:r>
          </w:p>
        </w:tc>
      </w:tr>
      <w:tr>
        <w:tc>
          <w:tcPr>
            <w:tcW w:type="dxa" w:w="2160"/>
          </w:tcPr>
          <w:p>
            <w:r/>
            <w:r>
              <w:rPr>
                <w:sz w:val="18"/>
              </w:rPr>
              <w:t>0.4</w:t>
            </w:r>
          </w:p>
        </w:tc>
        <w:tc>
          <w:tcPr>
            <w:tcW w:type="dxa" w:w="2160"/>
          </w:tcPr>
          <w:p>
            <w:r/>
            <w:r>
              <w:rPr>
                <w:sz w:val="18"/>
              </w:rPr>
              <w:t>11 October 2026</w:t>
            </w:r>
          </w:p>
        </w:tc>
        <w:tc>
          <w:tcPr>
            <w:tcW w:type="dxa" w:w="2160"/>
          </w:tcPr>
          <w:p>
            <w:r/>
            <w:r>
              <w:rPr>
                <w:sz w:val="18"/>
              </w:rPr>
              <w:t>Clinical research assistant, after research governance review</w:t>
            </w:r>
          </w:p>
        </w:tc>
        <w:tc>
          <w:tcPr>
            <w:tcW w:type="dxa" w:w="2160"/>
          </w:tcPr>
          <w:p>
            <w:r/>
            <w:r>
              <w:rPr>
                <w:sz w:val="18"/>
              </w:rPr>
              <w:t>Sponsor oversight and sponsor documents list (Appendix O); no-fault compensation; Prolific as default recruitment route; free-text and data-note rules; partner site as processor; legitimate interests proposed as lawful basis (data protection officer to confirm); partner background-IP and know-how carve-outs; results transparency within 12 months and final report; conflict-of-interest safeguards; UK MDR 2002 citation corrected to regulation 16; publication periods checked against the current HRA model Clinical Investigation Agreement. Sections 3 and 16 otherwise unchanged. Later on 11 October 2026: model-agreement source copies filed and cited; exclusion wording aligned; DMP version 0.3 referenced.</w:t>
            </w:r>
          </w:p>
        </w:tc>
      </w:tr>
    </w:tbl>
    <w:p/>
    <w:p>
      <w:r>
        <w:t>Superseded versions, including version 0.3, remain on file. The verbatim text of the 3 and 5 October 2026 change notes is kept in version 0.2. This version 0.4 is a draft until the Chief Investigator and a person authorised to sign for the sponsor countersign the approval table.</w:t>
      </w:r>
    </w:p>
    <w:p>
      <w:pPr>
        <w:pStyle w:val="Heading1"/>
      </w:pPr>
      <w:r>
        <w:t>Document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Role</w:t>
            </w:r>
          </w:p>
        </w:tc>
        <w:tc>
          <w:tcPr>
            <w:tcW w:type="dxa" w:w="2160"/>
          </w:tcPr>
          <w:p>
            <w:r>
              <w:rPr>
                <w:b/>
              </w:rPr>
            </w:r>
            <w:r>
              <w:rPr>
                <w:b/>
                <w:sz w:val="18"/>
              </w:rPr>
              <w:t>Name</w:t>
            </w:r>
          </w:p>
        </w:tc>
        <w:tc>
          <w:tcPr>
            <w:tcW w:type="dxa" w:w="2160"/>
          </w:tcPr>
          <w:p>
            <w:r>
              <w:rPr>
                <w:b/>
              </w:rPr>
            </w:r>
            <w:r>
              <w:rPr>
                <w:b/>
                <w:sz w:val="18"/>
              </w:rPr>
              <w:t>Date</w:t>
            </w:r>
          </w:p>
        </w:tc>
        <w:tc>
          <w:tcPr>
            <w:tcW w:type="dxa" w:w="2160"/>
          </w:tcPr>
          <w:p>
            <w:r>
              <w:rPr>
                <w:b/>
              </w:rPr>
            </w:r>
            <w:r>
              <w:rPr>
                <w:b/>
                <w:sz w:val="18"/>
              </w:rPr>
              <w:t>Signature</w:t>
            </w:r>
          </w:p>
        </w:tc>
      </w:tr>
      <w:tr>
        <w:tc>
          <w:tcPr>
            <w:tcW w:type="dxa" w:w="2160"/>
          </w:tcPr>
          <w:p>
            <w:r/>
            <w:r>
              <w:rPr>
                <w:sz w:val="18"/>
              </w:rPr>
              <w:t>Chief Investigator (proposed)</w:t>
            </w:r>
          </w:p>
        </w:tc>
        <w:tc>
          <w:tcPr>
            <w:tcW w:type="dxa" w:w="2160"/>
          </w:tcPr>
          <w:p>
            <w:r/>
            <w:r>
              <w:rPr>
                <w:sz w:val="18"/>
              </w:rPr>
              <w:t>Dr Sara McNeillis</w:t>
            </w:r>
          </w:p>
        </w:tc>
        <w:tc>
          <w:tcPr>
            <w:tcW w:type="dxa" w:w="2160"/>
          </w:tcPr>
          <w:p>
            <w:r/>
          </w:p>
        </w:tc>
        <w:tc>
          <w:tcPr>
            <w:tcW w:type="dxa" w:w="2160"/>
          </w:tcPr>
          <w:p>
            <w:r/>
          </w:p>
        </w:tc>
      </w:tr>
      <w:tr>
        <w:tc>
          <w:tcPr>
            <w:tcW w:type="dxa" w:w="2160"/>
          </w:tcPr>
          <w:p>
            <w:r/>
            <w:r>
              <w:rPr>
                <w:sz w:val="18"/>
              </w:rPr>
              <w:t>On behalf of sponsor (Sleep and Health Clinic App Ltd)</w:t>
            </w:r>
          </w:p>
        </w:tc>
        <w:tc>
          <w:tcPr>
            <w:tcW w:type="dxa" w:w="2160"/>
          </w:tcPr>
          <w:p>
            <w:r/>
            <w:r>
              <w:rPr>
                <w:sz w:val="18"/>
              </w:rPr>
              <w:t>Authorised signatory to be confirmed</w:t>
            </w:r>
          </w:p>
        </w:tc>
        <w:tc>
          <w:tcPr>
            <w:tcW w:type="dxa" w:w="2160"/>
          </w:tcPr>
          <w:p>
            <w:r/>
          </w:p>
        </w:tc>
        <w:tc>
          <w:tcPr>
            <w:tcW w:type="dxa" w:w="2160"/>
          </w:tcPr>
          <w:p>
            <w:r/>
          </w:p>
        </w:tc>
      </w:tr>
      <w:tr>
        <w:tc>
          <w:tcPr>
            <w:tcW w:type="dxa" w:w="2160"/>
          </w:tcPr>
          <w:p>
            <w:r/>
            <w:r>
              <w:rPr>
                <w:sz w:val="18"/>
              </w:rPr>
              <w:t>Principal Investigator, Partner site (to be confirmed)</w:t>
            </w:r>
          </w:p>
        </w:tc>
        <w:tc>
          <w:tcPr>
            <w:tcW w:type="dxa" w:w="2160"/>
          </w:tcPr>
          <w:p>
            <w:r/>
            <w:r>
              <w:rPr>
                <w:sz w:val="18"/>
              </w:rPr>
              <w:t>To be confirmed</w:t>
            </w:r>
          </w:p>
        </w:tc>
        <w:tc>
          <w:tcPr>
            <w:tcW w:type="dxa" w:w="2160"/>
          </w:tcPr>
          <w:p>
            <w:r/>
          </w:p>
        </w:tc>
        <w:tc>
          <w:tcPr>
            <w:tcW w:type="dxa" w:w="2160"/>
          </w:tcPr>
          <w:p>
            <w:r/>
          </w:p>
        </w:tc>
      </w:tr>
      <w:tr>
        <w:tc>
          <w:tcPr>
            <w:tcW w:type="dxa" w:w="2160"/>
          </w:tcPr>
          <w:p>
            <w:r/>
            <w:r>
              <w:rPr>
                <w:sz w:val="18"/>
              </w:rPr>
              <w:t>Independent statistician (SAP)</w:t>
            </w:r>
          </w:p>
        </w:tc>
        <w:tc>
          <w:tcPr>
            <w:tcW w:type="dxa" w:w="2160"/>
          </w:tcPr>
          <w:p>
            <w:r/>
            <w:r>
              <w:rPr>
                <w:sz w:val="18"/>
              </w:rPr>
              <w:t>To be confirmed (not appointed)</w:t>
            </w:r>
          </w:p>
        </w:tc>
        <w:tc>
          <w:tcPr>
            <w:tcW w:type="dxa" w:w="2160"/>
          </w:tcPr>
          <w:p>
            <w:r/>
          </w:p>
        </w:tc>
        <w:tc>
          <w:tcPr>
            <w:tcW w:type="dxa" w:w="2160"/>
          </w:tcPr>
          <w:p>
            <w:r/>
          </w:p>
        </w:tc>
      </w:tr>
      <w:tr>
        <w:tc>
          <w:tcPr>
            <w:tcW w:type="dxa" w:w="2160"/>
          </w:tcPr>
          <w:p>
            <w:r/>
            <w:r>
              <w:rPr>
                <w:sz w:val="18"/>
              </w:rPr>
              <w:t>Data protection / DPO review</w:t>
            </w:r>
          </w:p>
        </w:tc>
        <w:tc>
          <w:tcPr>
            <w:tcW w:type="dxa" w:w="2160"/>
          </w:tcPr>
          <w:p>
            <w:r/>
            <w:r>
              <w:rPr>
                <w:sz w:val="18"/>
              </w:rPr>
              <w:t>To be confirmed (DPO not named)</w:t>
            </w:r>
          </w:p>
        </w:tc>
        <w:tc>
          <w:tcPr>
            <w:tcW w:type="dxa" w:w="2160"/>
          </w:tcPr>
          <w:p>
            <w:r/>
          </w:p>
        </w:tc>
        <w:tc>
          <w:tcPr>
            <w:tcW w:type="dxa" w:w="2160"/>
          </w:tcPr>
          <w:p>
            <w:r/>
          </w:p>
        </w:tc>
      </w:tr>
    </w:tbl>
    <w:p/>
    <w:p>
      <w:r>
        <w:t>No signature on this table has been collected. The protocol is not approved for enrolment. Internal research-governance and compliance reviews are recorded in the trial master file and are not a substitute for these signatures.</w:t>
      </w:r>
    </w:p>
    <w:p>
      <w:pPr>
        <w:pStyle w:val="Heading1"/>
      </w:pPr>
      <w:r>
        <w:t>Table of Contents</w:t>
      </w:r>
    </w:p>
    <w:p>
      <w:pPr>
        <w:pStyle w:val="ListNumber"/>
      </w:pPr>
      <w:r>
        <w:t>Study Summary</w:t>
      </w:r>
    </w:p>
    <w:p>
      <w:pPr>
        <w:pStyle w:val="ListNumber"/>
      </w:pPr>
      <w:r>
        <w:t>Background and Rationale</w:t>
      </w:r>
    </w:p>
    <w:p>
      <w:pPr>
        <w:pStyle w:val="ListNumber"/>
      </w:pPr>
      <w:r>
        <w:t>Intended-Purpose Alignment</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Sponsorship, Funding and Contracts</w:t>
      </w:r>
    </w:p>
    <w:p>
      <w:pPr>
        <w:pStyle w:val="ListNumber"/>
      </w:pPr>
      <w:r>
        <w:t>Insurance and Indemnity</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UK GDPR</w:t>
      </w:r>
    </w:p>
    <w:p>
      <w:pPr>
        <w:pStyle w:val="ListNumber"/>
      </w:pPr>
      <w:r>
        <w:t>Intellectual Property and Data Ownership</w:t>
      </w:r>
    </w:p>
    <w:p>
      <w:pPr>
        <w:pStyle w:val="ListNumber"/>
      </w:pPr>
      <w:r>
        <w:t>Dissemination and Publication</w:t>
      </w:r>
    </w:p>
    <w:p>
      <w:pPr>
        <w:pStyle w:val="ListNumber"/>
      </w:pPr>
      <w:r>
        <w:t>Study Management, Roles and Delegation</w:t>
      </w:r>
    </w:p>
    <w:p>
      <w:pPr>
        <w:pStyle w:val="ListNumber"/>
      </w:pPr>
      <w:r>
        <w:t>Archiving</w:t>
      </w:r>
    </w:p>
    <w:p>
      <w:pPr>
        <w:pStyle w:val="ListNumber"/>
      </w:pPr>
      <w:r>
        <w:t>References</w:t>
      </w:r>
    </w:p>
    <w:p>
      <w:pPr>
        <w:pStyle w:val="ListNumber"/>
      </w:pPr>
      <w:r>
        <w:t>Appendices (including Appendix O, Sponsor documents)</w:t>
      </w:r>
    </w:p>
    <w:p>
      <w:r>
        <w:t>Word heading styles are Heading 1 for these sections. Page numbers to be updated on issue of version 1.0.</w:t>
      </w:r>
    </w:p>
    <w:p>
      <w:pPr>
        <w:pStyle w:val="Heading1"/>
      </w:pPr>
      <w:r>
        <w:t>1. Study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Record</w:t>
            </w:r>
          </w:p>
        </w:tc>
      </w:tr>
      <w:tr>
        <w:tc>
          <w:tcPr>
            <w:tcW w:type="dxa" w:w="4320"/>
          </w:tcPr>
          <w:p>
            <w:r/>
            <w:r>
              <w:rPr>
                <w:sz w:val="18"/>
              </w:rPr>
              <w:t>Study ID</w:t>
            </w:r>
          </w:p>
        </w:tc>
        <w:tc>
          <w:tcPr>
            <w:tcW w:type="dxa" w:w="4320"/>
          </w:tcPr>
          <w:p>
            <w:r/>
            <w:r>
              <w:rPr>
                <w:sz w:val="18"/>
              </w:rPr>
              <w:t>LAZ-VAL-001</w:t>
            </w:r>
          </w:p>
        </w:tc>
      </w:tr>
      <w:tr>
        <w:tc>
          <w:tcPr>
            <w:tcW w:type="dxa" w:w="4320"/>
          </w:tcPr>
          <w:p>
            <w:r/>
            <w:r>
              <w:rPr>
                <w:sz w:val="18"/>
              </w:rPr>
              <w:t>Short title</w:t>
            </w:r>
          </w:p>
        </w:tc>
        <w:tc>
          <w:tcPr>
            <w:tcW w:type="dxa" w:w="4320"/>
          </w:tcPr>
          <w:p>
            <w:r/>
            <w:r>
              <w:rPr>
                <w:sz w:val="18"/>
              </w:rPr>
              <w:t>Lazoo vs CSD-M: concurrent validity and usability</w:t>
            </w:r>
          </w:p>
        </w:tc>
      </w:tr>
      <w:tr>
        <w:tc>
          <w:tcPr>
            <w:tcW w:type="dxa" w:w="4320"/>
          </w:tcPr>
          <w:p>
            <w:r/>
            <w:r>
              <w:rPr>
                <w:sz w:val="18"/>
              </w:rPr>
              <w:t>Sponsor</w:t>
            </w:r>
          </w:p>
        </w:tc>
        <w:tc>
          <w:tcPr>
            <w:tcW w:type="dxa" w:w="4320"/>
          </w:tcPr>
          <w:p>
            <w:r/>
            <w:r>
              <w:rPr>
                <w:sz w:val="18"/>
              </w:rPr>
              <w:t>Sleep and Health Clinic App Ltd, company number 12467350, registered office 32 Watford Road, Northwood HA6 3NT. Research contact: admin@sleepandhealth.org. Sole sponsor and holder of study funds.</w:t>
            </w:r>
          </w:p>
        </w:tc>
      </w:tr>
      <w:tr>
        <w:tc>
          <w:tcPr>
            <w:tcW w:type="dxa" w:w="4320"/>
          </w:tcPr>
          <w:p>
            <w:r/>
            <w:r>
              <w:rPr>
                <w:sz w:val="18"/>
              </w:rPr>
              <w:t>Study site</w:t>
            </w:r>
          </w:p>
        </w:tc>
        <w:tc>
          <w:tcPr>
            <w:tcW w:type="dxa" w:w="4320"/>
          </w:tcPr>
          <w:p>
            <w:r/>
            <w:r>
              <w:rPr>
                <w:sz w:val="18"/>
              </w:rPr>
              <w:t>Partner site (to be confirmed), engaged and paid by the sponsor as a subcontracted site under a site/services agreement.</w:t>
            </w:r>
          </w:p>
        </w:tc>
      </w:tr>
      <w:tr>
        <w:tc>
          <w:tcPr>
            <w:tcW w:type="dxa" w:w="4320"/>
          </w:tcPr>
          <w:p>
            <w:r/>
            <w:r>
              <w:rPr>
                <w:sz w:val="18"/>
              </w:rPr>
              <w:t>Clinical advice</w:t>
            </w:r>
          </w:p>
        </w:tc>
        <w:tc>
          <w:tcPr>
            <w:tcW w:type="dxa" w:w="4320"/>
          </w:tcPr>
          <w:p>
            <w:r/>
            <w:r>
              <w:rPr>
                <w:sz w:val="18"/>
              </w:rPr>
              <w:t>Sleep and Health Clinic Ltd (08904119), advice only, under LAZ-AGR-001 (to be signed). Related party: shared directors.</w:t>
            </w:r>
          </w:p>
        </w:tc>
      </w:tr>
      <w:tr>
        <w:tc>
          <w:tcPr>
            <w:tcW w:type="dxa" w:w="4320"/>
          </w:tcPr>
          <w:p>
            <w:r/>
            <w:r>
              <w:rPr>
                <w:sz w:val="18"/>
              </w:rPr>
              <w:t>Chief Investigator</w:t>
            </w:r>
          </w:p>
        </w:tc>
        <w:tc>
          <w:tcPr>
            <w:tcW w:type="dxa" w:w="4320"/>
          </w:tcPr>
          <w:p>
            <w:r/>
            <w:r>
              <w:rPr>
                <w:sz w:val="18"/>
              </w:rPr>
              <w:t>Dr Sara McNeillis (GMC 4118686), proposed</w:t>
            </w:r>
          </w:p>
        </w:tc>
      </w:tr>
      <w:tr>
        <w:tc>
          <w:tcPr>
            <w:tcW w:type="dxa" w:w="4320"/>
          </w:tcPr>
          <w:p>
            <w:r/>
            <w:r>
              <w:rPr>
                <w:sz w:val="18"/>
              </w:rPr>
              <w:t>Design</w:t>
            </w:r>
          </w:p>
        </w:tc>
        <w:tc>
          <w:tcPr>
            <w:tcW w:type="dxa" w:w="4320"/>
          </w:tcPr>
          <w:p>
            <w:r/>
            <w:r>
              <w:rPr>
                <w:sz w:val="18"/>
              </w:rPr>
              <w:t>Prospective, paired, 14 consecutive mornings. Concurrent validity (measurement agreement) and usability. Non-CTIMP. UK MDR clinical-investigation status to be confirmed.</w:t>
            </w:r>
          </w:p>
        </w:tc>
      </w:tr>
      <w:tr>
        <w:tc>
          <w:tcPr>
            <w:tcW w:type="dxa" w:w="4320"/>
          </w:tcPr>
          <w:p>
            <w:r/>
            <w:r>
              <w:rPr>
                <w:sz w:val="18"/>
              </w:rPr>
              <w:t>Product</w:t>
            </w:r>
          </w:p>
        </w:tc>
        <w:tc>
          <w:tcPr>
            <w:tcW w:type="dxa" w:w="4320"/>
          </w:tcPr>
          <w:p>
            <w:r/>
            <w:r>
              <w:rPr>
                <w:sz w:val="18"/>
              </w:rPr>
              <w:t>Lazoo, software as a medical device, MHRA Class IIa (class 2a) working position. One layer. Restricted research build: Apple Unlisted App Distribution (not publicly searchable) and Google Play closed testing. In-app study code required. Draft intended purpose: insomnia diagnosis and monitoring; no therapy claims; pregnancy to be confirmed.</w:t>
            </w:r>
          </w:p>
        </w:tc>
      </w:tr>
      <w:tr>
        <w:tc>
          <w:tcPr>
            <w:tcW w:type="dxa" w:w="4320"/>
          </w:tcPr>
          <w:p>
            <w:r/>
            <w:r>
              <w:rPr>
                <w:sz w:val="18"/>
              </w:rPr>
              <w:t>Comparator</w:t>
            </w:r>
          </w:p>
        </w:tc>
        <w:tc>
          <w:tcPr>
            <w:tcW w:type="dxa" w:w="4320"/>
          </w:tcPr>
          <w:p>
            <w:r/>
            <w:r>
              <w:rPr>
                <w:sz w:val="18"/>
              </w:rPr>
              <w:t>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tcW w:type="dxa" w:w="4320"/>
          </w:tcPr>
          <w:p>
            <w:r/>
            <w:r>
              <w:rPr>
                <w:sz w:val="18"/>
              </w:rPr>
              <w:t>Participants</w:t>
            </w:r>
          </w:p>
        </w:tc>
        <w:tc>
          <w:tcPr>
            <w:tcW w:type="dxa" w:w="4320"/>
          </w:tcPr>
          <w:p>
            <w:r/>
            <w:r>
              <w:rPr>
                <w:sz w:val="18"/>
              </w:rPr>
              <w:t>Adult volunteers recruited by the sponsor through Prolific (the default recruitment route, using the sponsor’s own account), completing both diaries remotely. No recruitment from NHS patient lists, hospital patient lists or the patient lists of Sleep and Health Clinic Ltd.</w:t>
            </w:r>
          </w:p>
        </w:tc>
      </w:tr>
      <w:tr>
        <w:tc>
          <w:tcPr>
            <w:tcW w:type="dxa" w:w="4320"/>
          </w:tcPr>
          <w:p>
            <w:r/>
            <w:r>
              <w:rPr>
                <w:sz w:val="18"/>
              </w:rPr>
              <w:t>Duration</w:t>
            </w:r>
          </w:p>
        </w:tc>
        <w:tc>
          <w:tcPr>
            <w:tcW w:type="dxa" w:w="4320"/>
          </w:tcPr>
          <w:p>
            <w:r/>
            <w:r>
              <w:rPr>
                <w:sz w:val="18"/>
              </w:rPr>
              <w:t>Screening and training, 14 diary mornings, and a day-15 usability close-out.</w:t>
            </w:r>
          </w:p>
        </w:tc>
      </w:tr>
      <w:tr>
        <w:tc>
          <w:tcPr>
            <w:tcW w:type="dxa" w:w="4320"/>
          </w:tcPr>
          <w:p>
            <w:r/>
            <w:r>
              <w:rPr>
                <w:sz w:val="18"/>
              </w:rPr>
              <w:t>Sample size</w:t>
            </w:r>
          </w:p>
        </w:tc>
        <w:tc>
          <w:tcPr>
            <w:tcW w:type="dxa" w:w="4320"/>
          </w:tcPr>
          <w:p>
            <w:r/>
            <w:r>
              <w:rPr>
                <w:sz w:val="18"/>
              </w:rPr>
              <w:t>Feasibility floor: 30 completers (a completer has at least 10 of 14 paired mornings evaluable for calculated TST). This is a floor, not the final n. The formal Bland–Altman precision sample size is pending a signed SAP.</w:t>
            </w:r>
          </w:p>
        </w:tc>
      </w:tr>
      <w:tr>
        <w:tc>
          <w:tcPr>
            <w:tcW w:type="dxa" w:w="4320"/>
          </w:tcPr>
          <w:p>
            <w:r/>
            <w:r>
              <w:rPr>
                <w:sz w:val="18"/>
              </w:rPr>
              <w:t>Primary endpoint</w:t>
            </w:r>
          </w:p>
        </w:tc>
        <w:tc>
          <w:tcPr>
            <w:tcW w:type="dxa" w:w="4320"/>
          </w:tcPr>
          <w:p>
            <w:r/>
            <w:r>
              <w:rPr>
                <w:sz w:val="18"/>
              </w:rPr>
              <w:t>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tcW w:type="dxa" w:w="4320"/>
          </w:tcPr>
          <w:p>
            <w:r/>
            <w:r>
              <w:rPr>
                <w:sz w:val="18"/>
              </w:rPr>
              <w:t>Registration</w:t>
            </w:r>
          </w:p>
        </w:tc>
        <w:tc>
          <w:tcPr>
            <w:tcW w:type="dxa" w:w="4320"/>
          </w:tcPr>
          <w:p>
            <w:r/>
            <w:r>
              <w:rPr>
                <w:sz w:val="18"/>
              </w:rPr>
              <w:t>To be completed before the first participant (ISRCTN or equivalent), in line with HRA transparency expectations. Not yet registered. Results to be made public within 12 months of the end of the study (see Dissemination and Publication).</w:t>
            </w:r>
          </w:p>
        </w:tc>
      </w:tr>
      <w:tr>
        <w:tc>
          <w:tcPr>
            <w:tcW w:type="dxa" w:w="4320"/>
          </w:tcPr>
          <w:p>
            <w:r/>
            <w:r>
              <w:rPr>
                <w:sz w:val="18"/>
              </w:rPr>
              <w:t>Insurance</w:t>
            </w:r>
          </w:p>
        </w:tc>
        <w:tc>
          <w:tcPr>
            <w:tcW w:type="dxa" w:w="4320"/>
          </w:tcPr>
          <w:p>
            <w:r/>
            <w:r>
              <w:rPr>
                <w:sz w:val="18"/>
              </w:rPr>
              <w:t>Clinical study insurance with no-fault compensation for participants, and sponsor indemnity for the partner site. Insurer and quotation to be confirmed. Do not enrol until the certificate is filed.</w:t>
            </w:r>
          </w:p>
        </w:tc>
      </w:tr>
    </w:tbl>
    <w:p/>
    <w:p>
      <w:pPr>
        <w:pStyle w:val="Heading1"/>
      </w:pPr>
      <w:r>
        <w:t>2. Background and Rationale</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r>
        <w:t>Lazoo is software as a medical device at the MHRA Class IIa (class 2a) working position, with one layer. Its draft intended purpose is insomnia diagnosis and monitoring,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r>
        <w:t>Calculated TST is the primary quantity because CSD-M item 8 is a subjective estimate of time asleep and is not the derived index used for diary TST in this study (see Endpoints). Reed and Sacco (2016) and Maich et al. (2018) show that TST and sleep efficiency change if time in bed is taken from lights-out rather than from the later “tried to sleep” clock. LAZ-VAL-001 therefore keeps in_bed (CSD-M item 1 construct) and sleep_attempt (item 2 construct) as separate fields and uses the formula in Endpoints unless the Chief Investigator signs a documented Maich variant in the SAP.</w:t>
      </w:r>
    </w:p>
    <w:p>
      <w:r>
        <w:t>This is not a CTIMP. Whether the study is a clinical investigation under regulation 16 of the UK Medical Devices Regulations 2002 is to be confirmed (see Ethics and Regulatory Considerations). This protocol makes no statement about conformity marking. An AI validation report and a clinical evaluation report are outside this protocol.</w:t>
      </w:r>
    </w:p>
    <w:p>
      <w:r>
        <w:t>Studies sponsored by other organisations are outside this protocol. Their documents, letterhead, participant information and contact routes must not be merged into this file.</w:t>
      </w:r>
    </w:p>
    <w:p>
      <w:pPr>
        <w:pStyle w:val="Heading1"/>
      </w:pPr>
      <w:r>
        <w:t>3. Intended-Purpose Alignment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Element of the draft intended purpose (11 October 2026)</w:t>
            </w:r>
          </w:p>
        </w:tc>
        <w:tc>
          <w:tcPr>
            <w:tcW w:type="dxa" w:w="4320"/>
          </w:tcPr>
          <w:p>
            <w:r>
              <w:rPr>
                <w:b/>
              </w:rPr>
            </w:r>
            <w:r>
              <w:rPr>
                <w:b/>
                <w:sz w:val="18"/>
              </w:rPr>
              <w:t>How LAZ-VAL-001 relates to it</w:t>
            </w:r>
          </w:p>
        </w:tc>
      </w:tr>
      <w:tr>
        <w:tc>
          <w:tcPr>
            <w:tcW w:type="dxa" w:w="4320"/>
          </w:tcPr>
          <w:p>
            <w:r/>
            <w:r>
              <w:rPr>
                <w:sz w:val="18"/>
              </w:rPr>
              <w:t>Insomnia monitoring</w:t>
            </w:r>
          </w:p>
        </w:tc>
        <w:tc>
          <w:tcPr>
            <w:tcW w:type="dxa" w:w="4320"/>
          </w:tcPr>
          <w:p>
            <w:r/>
            <w:r>
              <w:rPr>
                <w:sz w:val="18"/>
              </w:rPr>
              <w:t>Supported indirectly. The study generates measurement-agreement, completeness, audit-trail and usability evidence for the diary records that underpin monitoring. It does not establish a clinical benefit.</w:t>
            </w:r>
          </w:p>
        </w:tc>
      </w:tr>
      <w:tr>
        <w:tc>
          <w:tcPr>
            <w:tcW w:type="dxa" w:w="4320"/>
          </w:tcPr>
          <w:p>
            <w:r/>
            <w:r>
              <w:rPr>
                <w:sz w:val="18"/>
              </w:rPr>
              <w:t>Insomnia diagnosis</w:t>
            </w:r>
          </w:p>
        </w:tc>
        <w:tc>
          <w:tcPr>
            <w:tcW w:type="dxa" w:w="4320"/>
          </w:tcPr>
          <w:p>
            <w:r/>
            <w:r>
              <w:rPr>
                <w:sz w:val="18"/>
              </w:rPr>
              <w:t>Not tested. No diagnostic cut-points, reference-standard diagnosis, sensitivity, specificity or ROC analysis. Diagnostic performance would need a separate protocol.</w:t>
            </w:r>
          </w:p>
        </w:tc>
      </w:tr>
      <w:tr>
        <w:tc>
          <w:tcPr>
            <w:tcW w:type="dxa" w:w="4320"/>
          </w:tcPr>
          <w:p>
            <w:r/>
            <w:r>
              <w:rPr>
                <w:sz w:val="18"/>
              </w:rPr>
              <w:t>Therapy</w:t>
            </w:r>
          </w:p>
        </w:tc>
        <w:tc>
          <w:tcPr>
            <w:tcW w:type="dxa" w:w="4320"/>
          </w:tcPr>
          <w:p>
            <w:r/>
            <w:r>
              <w:rPr>
                <w:sz w:val="18"/>
              </w:rPr>
              <w:t>Out of scope. No therapy claims. No CBT-I content, treatment allocation or treatment-response endpoint.</w:t>
            </w:r>
          </w:p>
        </w:tc>
      </w:tr>
      <w:tr>
        <w:tc>
          <w:tcPr>
            <w:tcW w:type="dxa" w:w="4320"/>
          </w:tcPr>
          <w:p>
            <w:r/>
            <w:r>
              <w:rPr>
                <w:sz w:val="18"/>
              </w:rPr>
              <w:t>Obstructive sleep apnoea (OSA)</w:t>
            </w:r>
          </w:p>
        </w:tc>
        <w:tc>
          <w:tcPr>
            <w:tcW w:type="dxa" w:w="4320"/>
          </w:tcPr>
          <w:p>
            <w:r/>
            <w:r>
              <w:rPr>
                <w:sz w:val="18"/>
              </w:rPr>
              <w:t>Out of scope. OSA is a separate condition and is not assessed, screened for or inferred in this study.</w:t>
            </w:r>
          </w:p>
        </w:tc>
      </w:tr>
      <w:tr>
        <w:tc>
          <w:tcPr>
            <w:tcW w:type="dxa" w:w="4320"/>
          </w:tcPr>
          <w:p>
            <w:r/>
            <w:r>
              <w:rPr>
                <w:sz w:val="18"/>
              </w:rPr>
              <w:t>Pregnancy</w:t>
            </w:r>
          </w:p>
        </w:tc>
        <w:tc>
          <w:tcPr>
            <w:tcW w:type="dxa" w:w="4320"/>
          </w:tcPr>
          <w:p>
            <w:r/>
            <w:r>
              <w:rPr>
                <w:sz w:val="18"/>
              </w:rPr>
              <w:t>To be confirmed in LAZ-IP-001. Until confirmed, the eligibility position in this protocol is unchanged (see Study Population).</w:t>
            </w:r>
          </w:p>
        </w:tc>
      </w:tr>
      <w:tr>
        <w:tc>
          <w:tcPr>
            <w:tcW w:type="dxa" w:w="4320"/>
          </w:tcPr>
          <w:p>
            <w:r/>
            <w:r>
              <w:rPr>
                <w:sz w:val="18"/>
              </w:rPr>
              <w:t>Final wording</w:t>
            </w:r>
          </w:p>
        </w:tc>
        <w:tc>
          <w:tcPr>
            <w:tcW w:type="dxa" w:w="4320"/>
          </w:tcPr>
          <w:p>
            <w:r/>
            <w:r>
              <w:rPr>
                <w:sz w:val="18"/>
              </w:rPr>
              <w:t>The intended-purpose statement is to be locked in LAZ-IP-001. Once locked, it is copied verbatim into this protocol, the participant information sheet and the study summary by amendment.</w:t>
            </w:r>
          </w:p>
        </w:tc>
      </w:tr>
    </w:tbl>
    <w:p/>
    <w:p>
      <w:r>
        <w:t>No result of this study may be presented as a diagnostic claim or a therapy claim.</w:t>
      </w:r>
    </w:p>
    <w:p>
      <w:pPr>
        <w:pStyle w:val="Heading1"/>
      </w:pPr>
      <w:r>
        <w:t>4. Study Objectives</w:t>
      </w:r>
    </w:p>
    <w:p>
      <w:pPr>
        <w:pStyle w:val="Heading2"/>
      </w:pPr>
      <w:r>
        <w:t>Primary objective</w:t>
      </w:r>
    </w:p>
    <w:p>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what,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tst_subjective). Item 8 is not the primary endpoint.</w:t>
      </w:r>
    </w:p>
    <w:p>
      <w:pPr>
        <w:pStyle w:val="ListBullet"/>
      </w:pPr>
      <w:r>
        <w:t>To describe nap and doze reporting and lifestyle text (caffeine, alcohol, sleep medication as user-entered text) as covariates only.</w:t>
      </w:r>
    </w:p>
    <w:p>
      <w:pPr>
        <w:pStyle w:val="Heading2"/>
      </w:pPr>
      <w:r>
        <w:t>What this study will not do</w:t>
      </w:r>
    </w:p>
    <w:p>
      <w:pPr>
        <w:pStyle w:val="ListBullet"/>
      </w:pPr>
      <w:r>
        <w:t>Establish or support a diagnostic claim or a therapy claim.</w:t>
      </w:r>
    </w:p>
    <w:p>
      <w:pPr>
        <w:pStyle w:val="ListBullet"/>
      </w:pPr>
      <w:r>
        <w:t>Test CBT-I, treatment response or care pathways.</w:t>
      </w:r>
    </w:p>
    <w:p>
      <w:pPr>
        <w:pStyle w:val="ListBullet"/>
      </w:pPr>
      <w:r>
        <w:t>Assess OSA.</w:t>
      </w:r>
    </w:p>
    <w:p>
      <w:pPr>
        <w:pStyle w:val="ListBullet"/>
      </w:pPr>
      <w:r>
        <w:t>Create a national registry.</w:t>
      </w:r>
    </w:p>
    <w:p>
      <w:pPr>
        <w:pStyle w:val="ListBullet"/>
      </w:pPr>
      <w:r>
        <w:t>Validate an AI output.</w:t>
      </w:r>
    </w:p>
    <w:p>
      <w:pPr>
        <w:pStyle w:val="ListBullet"/>
      </w:pPr>
      <w:r>
        <w:t>Recruit from NHS patient lists, hospital patient lists or the patient lists of Sleep and Health Clinic Ltd.</w:t>
      </w:r>
    </w:p>
    <w:p>
      <w:pPr>
        <w:pStyle w:val="Heading1"/>
      </w:pPr>
      <w:r>
        <w:t>5. Study Design</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and no in-app interpretation.</w:t>
      </w:r>
    </w:p>
    <w:p>
      <w:r>
        <w:t>Classification: non-CTIMP research. UK MDR clinical-investigation status is to be confirmed. Ethics review is required before the first participant. The need for HRA Approval depends on whether the Partner site is an NHS organisation (see Ethics and Regulatory Considerations).</w:t>
      </w:r>
    </w:p>
    <w:p>
      <w:pPr>
        <w:pStyle w:val="Heading2"/>
      </w:pPr>
      <w:r>
        <w:t>Product under study</w:t>
      </w:r>
    </w:p>
    <w:p>
      <w:r>
        <w:t>Lazoo restricted research build (software as a medical device,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r>
        <w:t>To be confirmed: app version pin and release note for the research-ready build. This protocol is not executable until LAZ-VER-001 names the pin.</w:t>
      </w:r>
    </w:p>
    <w:p>
      <w:pPr>
        <w:pStyle w:val="Heading2"/>
      </w:pPr>
      <w:r>
        <w:t>Comparator handling and copyright</w:t>
      </w:r>
    </w:p>
    <w:p>
      <w:r>
        <w:t>CSD-M is cited, not reproduced. Construct names and field codes are used in the protocol, CRF and data dictionary. Verbatim CSD-M question stems, Figure 2 and the publisher PDF must not be placed in the trial master file, the app or the CRF until a written industry licence from Dr Colleen Carney is on file (commercial use; fees are charged). UK wording changes (for example soda to soft drink, oz to ml) are a linguistic adaptation and also need the copyright holder’s agreement if stems change.</w:t>
      </w:r>
    </w:p>
    <w:p>
      <w:r>
        <w:t>To be confirmed: CSD-M industry licence. Until it is on file, source worksheets use construct labels and clock-time boxes only.</w:t>
      </w:r>
    </w:p>
    <w:p>
      <w:pPr>
        <w:pStyle w:val="Heading2"/>
      </w:pPr>
      <w:r>
        <w:t>Site</w:t>
      </w:r>
    </w:p>
    <w:p>
      <w:r>
        <w:t>The study is conducted under the sponsor at one Partner site (to be confirmed), a hospital or university organisation engaged as a subcontracted site. The Partner site is paid by the sponsor under a site/services agreement and acts on the sponsor’s instructions in accordance with this protocol. It is not a co-sponsor, co-funder or joint owner of the study, the product or the results.</w:t>
      </w:r>
    </w:p>
    <w:p>
      <w:r>
        <w:t>The services to be provided by the Partner site are to be confirmed in the site/services agreement. The sponsor’s proposed scope is: a Principal Investigator with oversight at the site; participant screening, consent and study conduct in accordance with this protocol; source-document handling and CRF completion; maintenance of an investigator site file; and cooperation with sponsor monitoring and audit.</w:t>
      </w:r>
    </w:p>
    <w:p>
      <w:r>
        <w:t>Participants are adult volunteers recruited by the sponsor through Prolific (see Study Population) who complete both diaries remotely. The Partner site must not recruit from NHS patient lists, hospital patient lists or the patient lists of Sleep and Health Clinic Ltd. Sleep and Health Clinic Ltd is not a research site.</w:t>
      </w:r>
    </w:p>
    <w:p>
      <w:r>
        <w:t>No site code, investigator site file or study access is issued to the Partner site until the site/services agreement is signed, the required approvals are in place and the site is formally opened by the sponsor. Adding any further site requires a protocol amendment.</w:t>
      </w:r>
    </w:p>
    <w:p>
      <w:pPr>
        <w:pStyle w:val="Heading2"/>
      </w:pPr>
      <w:r>
        <w:t>Actigraphy</w:t>
      </w:r>
    </w:p>
    <w:p>
      <w:r>
        <w:t>Wrist actigraphy is not included in version 0.3. Adding it would require a protocol amendment, a named actigraphy device of appropriate regulatory status, and a scoring SOP for that device.</w:t>
      </w:r>
    </w:p>
    <w:p>
      <w:pPr>
        <w:pStyle w:val="Heading1"/>
      </w:pPr>
      <w:r>
        <w:t>6. Study Population</w:t>
      </w:r>
    </w:p>
    <w:p>
      <w:r>
        <w:t>Adults aged 18 years or over who can use the restricted English-language app and who are willing to complete both Lazoo and CSD-M each morning for 14 days. Participants are volunteers. They are not enrolled as NHS patients, and no care will change because of diary values.</w:t>
      </w:r>
    </w:p>
    <w:p>
      <w:pPr>
        <w:pStyle w:val="Heading2"/>
      </w:pPr>
      <w:r>
        <w:t>Recruitment route</w:t>
      </w:r>
    </w:p>
    <w:p>
      <w:r>
        <w:t>The default recruitment route is Prolific, through Sleep and Health Clinic App Ltd’s own account. Volunteers who respond to the sponsor’s study advertisement are screened against the inclusion and exclusion criteria. No one is approached through an NHS patient list, a hospital patient list or the patient list of Sleep and Health Clinic Ltd. Any other recruitment route requires a protocol amendment and approval by the reviewing ethics committee. The recruitment advertisement and any Prolific study description are participant-facing documents and are submitted for ethics review. Prolific’s role in processing participant data is recorded in the DMP and the DPIA before recruitment opens.</w:t>
      </w:r>
    </w:p>
    <w:p>
      <w:r>
        <w:t>Target for feasibility: 30 completers. Screening may continue until that floor is met or the Chief Investigator stops the study. The SAP may raise the n; it may not lower the completer definition without a protocol amendment.</w:t>
      </w:r>
    </w:p>
    <w:p>
      <w:r>
        <w:t>A completer is a participant with at least 10 of 14 paired mornings that are evaluable for calculated TST on both diaries (see Endpoints).</w:t>
      </w:r>
    </w:p>
    <w:p>
      <w:r>
        <w:t>Parent or carer completion and anyone under 18 are out of scope until a paediatric participant information sheet exists. Pregnancy: no change to eligibility in this version; the position is to be confirmed once LAZ-IP-001 records whether pregnancy is in or out of the intended purpose.</w:t>
      </w:r>
    </w:p>
    <w:p>
      <w:pPr>
        <w:pStyle w:val="Heading1"/>
      </w:pPr>
      <w:r>
        <w:t>7. Inclusion Criteria</w:t>
      </w:r>
    </w:p>
    <w:p>
      <w:pPr>
        <w:pStyle w:val="ListNumber"/>
      </w:pPr>
      <w:r>
        <w:t>Aged 18 years or over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remote consent approved by the ethics committee) and to be contacted through the study contact on the participant information sheet.</w:t>
      </w:r>
    </w:p>
    <w:p>
      <w:pPr>
        <w:pStyle w:val="ListNumber"/>
      </w:pPr>
      <w:r>
        <w:t>Consent toggle 1 (use the diary) and toggle 3 (research use of a pseudonymised copy for this protocol) both on. Toggle 4 (future clinical tools or models) is not required and is off for the default analysis population.</w:t>
      </w:r>
    </w:p>
    <w:p>
      <w:pPr>
        <w:pStyle w:val="Heading1"/>
      </w:pPr>
      <w:r>
        <w:t>8. Exclusion Criteria</w:t>
      </w:r>
    </w:p>
    <w:p>
      <w:pPr>
        <w:pStyle w:val="ListNumber"/>
      </w:pPr>
      <w:r>
        <w:t>Unable to give informed consent.</w:t>
      </w:r>
    </w:p>
    <w:p>
      <w:pPr>
        <w:pStyle w:val="ListNumber"/>
      </w:pPr>
      <w:r>
        <w:t>Current participation in another sleep-diary research study that would duplicate the same nights.</w:t>
      </w:r>
    </w:p>
    <w:p>
      <w:pPr>
        <w:pStyle w:val="ListNumber"/>
      </w:pPr>
      <w:r>
        <w:t>The Chief Investigator or a delegated investigator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or closed-testing app.</w:t>
      </w:r>
    </w:p>
    <w:p>
      <w:pPr>
        <w:pStyle w:val="ListNumber"/>
      </w:pPr>
      <w:r>
        <w:t>Identified through any NHS organisation's patient lists, or a patient of Sleep &amp; Health Clinic Ltd (08904119).</w:t>
      </w:r>
    </w:p>
    <w:p>
      <w:r>
        <w:t>Not recruited through any NHS organisation's patient lists or from Sleep &amp; Health Clinic Ltd (08904119) patients.</w:t>
      </w:r>
    </w:p>
    <w:p>
      <w:r>
        <w:t>People who currently have a sleep difficulty are not excluded by that fact alone, and they are not enrolled in order to test a diagnostic claim. Self-reported background is descriptive only.</w:t>
      </w:r>
    </w:p>
    <w:p>
      <w:pPr>
        <w:pStyle w:val="Heading1"/>
      </w:pPr>
      <w:r>
        <w:t>9. Study Procedures</w:t>
      </w:r>
    </w:p>
    <w:p>
      <w:pPr>
        <w:pStyle w:val="ListNumber"/>
      </w:pPr>
      <w:r>
        <w:t>Invitation through Prolific (default route; see Study Population) and screening against inclusion and exclusion criteria. Participant ID format: LAZ-VAL-001-NNN (never reused).</w:t>
      </w:r>
    </w:p>
    <w:p>
      <w:pPr>
        <w:pStyle w:val="ListNumber"/>
      </w:pPr>
      <w:r>
        <w:t>Informed consent.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ListNumber"/>
      </w:pPr>
      <w:r>
        <w:t>Issue study code and login. The app must not be publicly listed. Confirm the app version against the LAZ-VER-001 pin.</w:t>
      </w:r>
    </w:p>
    <w:p>
      <w:pPr>
        <w:pStyle w:val="ListNumber"/>
      </w:pPr>
      <w:r>
        <w:t>Training (day 0): one walkthrough of the CSD-M construct fields and of the Lazoo morning diary. CSD-M is completed on paper or a locked PDF so Lazoo cannot auto-fill it. in_bed and sleep_attempt are trained as two different clock times.</w:t>
      </w:r>
    </w:p>
    <w:p>
      <w:pPr>
        <w:pStyle w:val="ListNumber"/>
      </w:pPr>
      <w:r>
        <w:t>Mornings 1–14: CSD-M first, then Lazoo, in the same sitting. No in-app interpretation, score, flag, CBT-I lesson or phenotyping output. Participants may edit Lazoo entries; edits are append-only with the original retained.</w:t>
      </w:r>
    </w:p>
    <w:p>
      <w:pPr>
        <w:pStyle w:val="ListNumber"/>
      </w:pPr>
      <w:r>
        <w:t>Day 15 (or the first working day after morning 14): return CSD-M source worksheets; complete the SUS; complete three structured usability questions; optional short interview (audio only if separately consented; default is notes on the CRF). Confirm withdrawal wishes for toggle 3.</w:t>
      </w:r>
    </w:p>
    <w:p>
      <w:pPr>
        <w:pStyle w:val="ListNumber"/>
      </w:pPr>
      <w:r>
        <w:t>Close-out: export Lazoo JSON and CSV; file the export receipt on the CRF; stop study access or leave the person on the restricted app for personal use under toggle 1 only, as they choose.</w:t>
      </w:r>
    </w:p>
    <w:p>
      <w:r>
        <w:t>Toggle 2 (share with a nominated clinician) is optional and is not required for this study. Any share is the diary history only, with no automated interpretation.</w:t>
      </w:r>
    </w:p>
    <w:p>
      <w:r>
        <w:t>Deviations (wrong order, Lazoo completed first, missed morning, lost PDF) are logged. A morning with Lazoo completed first is not primary-evaluable unless the SAP defines a sensitivity rule.</w:t>
      </w:r>
    </w:p>
    <w:p>
      <w:pPr>
        <w:pStyle w:val="Heading1"/>
      </w:pPr>
      <w:r>
        <w:t>10. Study Assessments</w:t>
      </w:r>
    </w:p>
    <w:p>
      <w:pPr>
        <w:pStyle w:val="Heading2"/>
      </w:pPr>
      <w:r>
        <w:t>CSD-M (comparator)</w:t>
      </w:r>
    </w:p>
    <w:p>
      <w:r>
        <w:t>Reference: Carney et al., Sleep 2012;35:287–302. doi:10.5665/sleep.1642. Morning diary. Source document: paper or locked PDF, retained in the investigator site file and trial master file only if licensed. The CRF records construct values (clock times, durations, counts, categorical ratings) using the field map below. Double transcription with a discrepancy log, or single transcription plus a photograph of the source with a file log, as specified in the DMP.</w:t>
      </w:r>
    </w:p>
    <w:p>
      <w:pPr>
        <w:pStyle w:val="Heading2"/>
      </w:pPr>
      <w:r>
        <w:t>Lazoo v1 (index diary)</w:t>
      </w:r>
    </w:p>
    <w:p>
      <w:r>
        <w:t>Restricted research app. Fields are named in the research data dictionary (LAZ-TPL-DICT and the study map). Derived TST, SOL, WASO, TIB and SE are computed on export from raw clock times; raw timestamps are stored. Lifestyle caffeine, alcohol and medication entries are user-entered text, not a coded medical history. Reserved and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CSD-M item (construct only)</w:t>
            </w:r>
          </w:p>
        </w:tc>
        <w:tc>
          <w:tcPr>
            <w:tcW w:type="dxa" w:w="2160"/>
          </w:tcPr>
          <w:p>
            <w:r>
              <w:rPr>
                <w:b/>
              </w:rPr>
            </w:r>
            <w:r>
              <w:rPr>
                <w:b/>
                <w:sz w:val="18"/>
              </w:rPr>
              <w:t>Construct</w:t>
            </w:r>
          </w:p>
        </w:tc>
        <w:tc>
          <w:tcPr>
            <w:tcW w:type="dxa" w:w="2160"/>
          </w:tcPr>
          <w:p>
            <w:r>
              <w:rPr>
                <w:b/>
              </w:rPr>
            </w:r>
            <w:r>
              <w:rPr>
                <w:b/>
                <w:sz w:val="18"/>
              </w:rPr>
              <w:t>Lazoo field</w:t>
            </w:r>
          </w:p>
        </w:tc>
        <w:tc>
          <w:tcPr>
            <w:tcW w:type="dxa" w:w="2160"/>
          </w:tcPr>
          <w:p>
            <w:r>
              <w:rPr>
                <w:b/>
              </w:rPr>
            </w:r>
            <w:r>
              <w:rPr>
                <w:b/>
                <w:sz w:val="18"/>
              </w:rPr>
              <w:t>Role in LAZ-VAL-001</w:t>
            </w:r>
          </w:p>
        </w:tc>
      </w:tr>
      <w:tr>
        <w:tc>
          <w:tcPr>
            <w:tcW w:type="dxa" w:w="2160"/>
          </w:tcPr>
          <w:p>
            <w:r/>
            <w:r>
              <w:rPr>
                <w:sz w:val="18"/>
              </w:rPr>
              <w:t>Date</w:t>
            </w:r>
          </w:p>
        </w:tc>
        <w:tc>
          <w:tcPr>
            <w:tcW w:type="dxa" w:w="2160"/>
          </w:tcPr>
          <w:p>
            <w:r/>
            <w:r>
              <w:rPr>
                <w:sz w:val="18"/>
              </w:rPr>
              <w:t>Morning date</w:t>
            </w:r>
          </w:p>
        </w:tc>
        <w:tc>
          <w:tcPr>
            <w:tcW w:type="dxa" w:w="2160"/>
          </w:tcPr>
          <w:p>
            <w:r/>
            <w:r>
              <w:rPr>
                <w:sz w:val="18"/>
              </w:rPr>
              <w:t>diary_date</w:t>
            </w:r>
          </w:p>
        </w:tc>
        <w:tc>
          <w:tcPr>
            <w:tcW w:type="dxa" w:w="2160"/>
          </w:tcPr>
          <w:p>
            <w:r/>
            <w:r>
              <w:rPr>
                <w:sz w:val="18"/>
              </w:rPr>
              <w:t>Administrative; pairing key</w:t>
            </w:r>
          </w:p>
        </w:tc>
      </w:tr>
      <w:tr>
        <w:tc>
          <w:tcPr>
            <w:tcW w:type="dxa" w:w="2160"/>
          </w:tcPr>
          <w:p>
            <w:r/>
            <w:r>
              <w:rPr>
                <w:sz w:val="18"/>
              </w:rPr>
              <w:t>1</w:t>
            </w:r>
          </w:p>
        </w:tc>
        <w:tc>
          <w:tcPr>
            <w:tcW w:type="dxa" w:w="2160"/>
          </w:tcPr>
          <w:p>
            <w:r/>
            <w:r>
              <w:rPr>
                <w:sz w:val="18"/>
              </w:rPr>
              <w:t>Clock time into bed</w:t>
            </w:r>
          </w:p>
        </w:tc>
        <w:tc>
          <w:tcPr>
            <w:tcW w:type="dxa" w:w="2160"/>
          </w:tcPr>
          <w:p>
            <w:r/>
            <w:r>
              <w:rPr>
                <w:sz w:val="18"/>
              </w:rPr>
              <w:t>in_bed</w:t>
            </w:r>
          </w:p>
        </w:tc>
        <w:tc>
          <w:tcPr>
            <w:tcW w:type="dxa" w:w="2160"/>
          </w:tcPr>
          <w:p>
            <w:r/>
            <w:r>
              <w:rPr>
                <w:sz w:val="18"/>
              </w:rPr>
              <w:t>TIB; kept separate from item 2</w:t>
            </w:r>
          </w:p>
        </w:tc>
      </w:tr>
      <w:tr>
        <w:tc>
          <w:tcPr>
            <w:tcW w:type="dxa" w:w="2160"/>
          </w:tcPr>
          <w:p>
            <w:r/>
            <w:r>
              <w:rPr>
                <w:sz w:val="18"/>
              </w:rPr>
              <w:t>2</w:t>
            </w:r>
          </w:p>
        </w:tc>
        <w:tc>
          <w:tcPr>
            <w:tcW w:type="dxa" w:w="2160"/>
          </w:tcPr>
          <w:p>
            <w:r/>
            <w:r>
              <w:rPr>
                <w:sz w:val="18"/>
              </w:rPr>
              <w:t>Clock time tried to sleep</w:t>
            </w:r>
          </w:p>
        </w:tc>
        <w:tc>
          <w:tcPr>
            <w:tcW w:type="dxa" w:w="2160"/>
          </w:tcPr>
          <w:p>
            <w:r/>
            <w:r>
              <w:rPr>
                <w:sz w:val="18"/>
              </w:rPr>
              <w:t>sleep_attempt</w:t>
            </w:r>
          </w:p>
        </w:tc>
        <w:tc>
          <w:tcPr>
            <w:tcW w:type="dxa" w:w="2160"/>
          </w:tcPr>
          <w:p>
            <w:r/>
            <w:r>
              <w:rPr>
                <w:sz w:val="18"/>
              </w:rPr>
              <w:t>SOL start; TST start; kept separate from item 1</w:t>
            </w:r>
          </w:p>
        </w:tc>
      </w:tr>
      <w:tr>
        <w:tc>
          <w:tcPr>
            <w:tcW w:type="dxa" w:w="2160"/>
          </w:tcPr>
          <w:p>
            <w:r/>
            <w:r>
              <w:rPr>
                <w:sz w:val="18"/>
              </w:rPr>
              <w:t>3</w:t>
            </w:r>
          </w:p>
        </w:tc>
        <w:tc>
          <w:tcPr>
            <w:tcW w:type="dxa" w:w="2160"/>
          </w:tcPr>
          <w:p>
            <w:r/>
            <w:r>
              <w:rPr>
                <w:sz w:val="18"/>
              </w:rPr>
              <w:t>Time to fall asleep (duration)</w:t>
            </w:r>
          </w:p>
        </w:tc>
        <w:tc>
          <w:tcPr>
            <w:tcW w:type="dxa" w:w="2160"/>
          </w:tcPr>
          <w:p>
            <w:r/>
            <w:r>
              <w:rPr>
                <w:sz w:val="18"/>
              </w:rPr>
              <w:t>SOL; sleep_onset derived = sleep_attempt + SOL</w:t>
            </w:r>
          </w:p>
        </w:tc>
        <w:tc>
          <w:tcPr>
            <w:tcW w:type="dxa" w:w="2160"/>
          </w:tcPr>
          <w:p>
            <w:r/>
            <w:r>
              <w:rPr>
                <w:sz w:val="18"/>
              </w:rPr>
              <w:t>Secondary SOL</w:t>
            </w:r>
          </w:p>
        </w:tc>
      </w:tr>
      <w:tr>
        <w:tc>
          <w:tcPr>
            <w:tcW w:type="dxa" w:w="2160"/>
          </w:tcPr>
          <w:p>
            <w:r/>
            <w:r>
              <w:rPr>
                <w:sz w:val="18"/>
              </w:rPr>
              <w:t>4</w:t>
            </w:r>
          </w:p>
        </w:tc>
        <w:tc>
          <w:tcPr>
            <w:tcW w:type="dxa" w:w="2160"/>
          </w:tcPr>
          <w:p>
            <w:r/>
            <w:r>
              <w:rPr>
                <w:sz w:val="18"/>
              </w:rPr>
              <w:t>Number of wakes excluding final</w:t>
            </w:r>
          </w:p>
        </w:tc>
        <w:tc>
          <w:tcPr>
            <w:tcW w:type="dxa" w:w="2160"/>
          </w:tcPr>
          <w:p>
            <w:r/>
            <w:r>
              <w:rPr>
                <w:sz w:val="18"/>
              </w:rPr>
              <w:t>awakenings_n</w:t>
            </w:r>
          </w:p>
        </w:tc>
        <w:tc>
          <w:tcPr>
            <w:tcW w:type="dxa" w:w="2160"/>
          </w:tcPr>
          <w:p>
            <w:r/>
            <w:r>
              <w:rPr>
                <w:sz w:val="18"/>
              </w:rPr>
              <w:t>Secondary count</w:t>
            </w:r>
          </w:p>
        </w:tc>
      </w:tr>
      <w:tr>
        <w:tc>
          <w:tcPr>
            <w:tcW w:type="dxa" w:w="2160"/>
          </w:tcPr>
          <w:p>
            <w:r/>
            <w:r>
              <w:rPr>
                <w:sz w:val="18"/>
              </w:rPr>
              <w:t>5</w:t>
            </w:r>
          </w:p>
        </w:tc>
        <w:tc>
          <w:tcPr>
            <w:tcW w:type="dxa" w:w="2160"/>
          </w:tcPr>
          <w:p>
            <w:r/>
            <w:r>
              <w:rPr>
                <w:sz w:val="18"/>
              </w:rPr>
              <w:t>Total length of those wakes</w:t>
            </w:r>
          </w:p>
        </w:tc>
        <w:tc>
          <w:tcPr>
            <w:tcW w:type="dxa" w:w="2160"/>
          </w:tcPr>
          <w:p>
            <w:r/>
            <w:r>
              <w:rPr>
                <w:sz w:val="18"/>
              </w:rPr>
              <w:t>WASO (sum of awakenings_detail[].duration excluding final)</w:t>
            </w:r>
          </w:p>
        </w:tc>
        <w:tc>
          <w:tcPr>
            <w:tcW w:type="dxa" w:w="2160"/>
          </w:tcPr>
          <w:p>
            <w:r/>
            <w:r>
              <w:rPr>
                <w:sz w:val="18"/>
              </w:rPr>
              <w:t>Secondary WASO; feeds TST and SE</w:t>
            </w:r>
          </w:p>
        </w:tc>
      </w:tr>
      <w:tr>
        <w:tc>
          <w:tcPr>
            <w:tcW w:type="dxa" w:w="2160"/>
          </w:tcPr>
          <w:p>
            <w:r/>
            <w:r>
              <w:rPr>
                <w:sz w:val="18"/>
              </w:rPr>
              <w:t>6a</w:t>
            </w:r>
          </w:p>
        </w:tc>
        <w:tc>
          <w:tcPr>
            <w:tcW w:type="dxa" w:w="2160"/>
          </w:tcPr>
          <w:p>
            <w:r/>
            <w:r>
              <w:rPr>
                <w:sz w:val="18"/>
              </w:rPr>
              <w:t>Clock time of final awakening</w:t>
            </w:r>
          </w:p>
        </w:tc>
        <w:tc>
          <w:tcPr>
            <w:tcW w:type="dxa" w:w="2160"/>
          </w:tcPr>
          <w:p>
            <w:r/>
            <w:r>
              <w:rPr>
                <w:sz w:val="18"/>
              </w:rPr>
              <w:t>wake</w:t>
            </w:r>
          </w:p>
        </w:tc>
        <w:tc>
          <w:tcPr>
            <w:tcW w:type="dxa" w:w="2160"/>
          </w:tcPr>
          <w:p>
            <w:r/>
            <w:r>
              <w:rPr>
                <w:sz w:val="18"/>
              </w:rPr>
              <w:t>TWAK, TST, SE</w:t>
            </w:r>
          </w:p>
        </w:tc>
      </w:tr>
      <w:tr>
        <w:tc>
          <w:tcPr>
            <w:tcW w:type="dxa" w:w="2160"/>
          </w:tcPr>
          <w:p>
            <w:r/>
            <w:r>
              <w:rPr>
                <w:sz w:val="18"/>
              </w:rPr>
              <w:t>6b</w:t>
            </w:r>
          </w:p>
        </w:tc>
        <w:tc>
          <w:tcPr>
            <w:tcW w:type="dxa" w:w="2160"/>
          </w:tcPr>
          <w:p>
            <w:r/>
            <w:r>
              <w:rPr>
                <w:sz w:val="18"/>
              </w:rPr>
              <w:t>Minutes trying after final wake</w:t>
            </w:r>
          </w:p>
        </w:tc>
        <w:tc>
          <w:tcPr>
            <w:tcW w:type="dxa" w:w="2160"/>
          </w:tcPr>
          <w:p>
            <w:r/>
            <w:r>
              <w:rPr>
                <w:sz w:val="18"/>
              </w:rPr>
              <w:t>twak_try_min</w:t>
            </w:r>
          </w:p>
        </w:tc>
        <w:tc>
          <w:tcPr>
            <w:tcW w:type="dxa" w:w="2160"/>
          </w:tcPr>
          <w:p>
            <w:r/>
            <w:r>
              <w:rPr>
                <w:sz w:val="18"/>
              </w:rPr>
              <w:t>Optional sensitivity; not required for primary TWAK</w:t>
            </w:r>
          </w:p>
        </w:tc>
      </w:tr>
      <w:tr>
        <w:tc>
          <w:tcPr>
            <w:tcW w:type="dxa" w:w="2160"/>
          </w:tcPr>
          <w:p>
            <w:r/>
            <w:r>
              <w:rPr>
                <w:sz w:val="18"/>
              </w:rPr>
              <w:t>6c / 6d</w:t>
            </w:r>
          </w:p>
        </w:tc>
        <w:tc>
          <w:tcPr>
            <w:tcW w:type="dxa" w:w="2160"/>
          </w:tcPr>
          <w:p>
            <w:r/>
            <w:r>
              <w:rPr>
                <w:sz w:val="18"/>
              </w:rPr>
              <w:t>Earlier than planned (yes/no and minutes)</w:t>
            </w:r>
          </w:p>
        </w:tc>
        <w:tc>
          <w:tcPr>
            <w:tcW w:type="dxa" w:w="2160"/>
          </w:tcPr>
          <w:p>
            <w:r/>
            <w:r>
              <w:rPr>
                <w:sz w:val="18"/>
              </w:rPr>
              <w:t>ema_yn, ema_min</w:t>
            </w:r>
          </w:p>
        </w:tc>
        <w:tc>
          <w:tcPr>
            <w:tcW w:type="dxa" w:w="2160"/>
          </w:tcPr>
          <w:p>
            <w:r/>
            <w:r>
              <w:rPr>
                <w:sz w:val="18"/>
              </w:rPr>
              <w:t>Not an index</w:t>
            </w:r>
          </w:p>
        </w:tc>
      </w:tr>
      <w:tr>
        <w:tc>
          <w:tcPr>
            <w:tcW w:type="dxa" w:w="2160"/>
          </w:tcPr>
          <w:p>
            <w:r/>
            <w:r>
              <w:rPr>
                <w:sz w:val="18"/>
              </w:rPr>
              <w:t>7</w:t>
            </w:r>
          </w:p>
        </w:tc>
        <w:tc>
          <w:tcPr>
            <w:tcW w:type="dxa" w:w="2160"/>
          </w:tcPr>
          <w:p>
            <w:r/>
            <w:r>
              <w:rPr>
                <w:sz w:val="18"/>
              </w:rPr>
              <w:t>Clock time out of bed for the day</w:t>
            </w:r>
          </w:p>
        </w:tc>
        <w:tc>
          <w:tcPr>
            <w:tcW w:type="dxa" w:w="2160"/>
          </w:tcPr>
          <w:p>
            <w:r/>
            <w:r>
              <w:rPr>
                <w:sz w:val="18"/>
              </w:rPr>
              <w:t>out_of_bed</w:t>
            </w:r>
          </w:p>
        </w:tc>
        <w:tc>
          <w:tcPr>
            <w:tcW w:type="dxa" w:w="2160"/>
          </w:tcPr>
          <w:p>
            <w:r/>
            <w:r>
              <w:rPr>
                <w:sz w:val="18"/>
              </w:rPr>
              <w:t>TIB, TWAK, TST, SE</w:t>
            </w:r>
          </w:p>
        </w:tc>
      </w:tr>
      <w:tr>
        <w:tc>
          <w:tcPr>
            <w:tcW w:type="dxa" w:w="2160"/>
          </w:tcPr>
          <w:p>
            <w:r/>
            <w:r>
              <w:rPr>
                <w:sz w:val="18"/>
              </w:rPr>
              <w:t>8</w:t>
            </w:r>
          </w:p>
        </w:tc>
        <w:tc>
          <w:tcPr>
            <w:tcW w:type="dxa" w:w="2160"/>
          </w:tcPr>
          <w:p>
            <w:r/>
            <w:r>
              <w:rPr>
                <w:sz w:val="18"/>
              </w:rPr>
              <w:t>Subjective estimated total sleep</w:t>
            </w:r>
          </w:p>
        </w:tc>
        <w:tc>
          <w:tcPr>
            <w:tcW w:type="dxa" w:w="2160"/>
          </w:tcPr>
          <w:p>
            <w:r/>
            <w:r>
              <w:rPr>
                <w:sz w:val="18"/>
              </w:rPr>
              <w:t>tst_subjective</w:t>
            </w:r>
          </w:p>
        </w:tc>
        <w:tc>
          <w:tcPr>
            <w:tcW w:type="dxa" w:w="2160"/>
          </w:tcPr>
          <w:p>
            <w:r/>
            <w:r>
              <w:rPr>
                <w:sz w:val="18"/>
              </w:rPr>
              <w:t>Exploratory only; not primary</w:t>
            </w:r>
          </w:p>
        </w:tc>
      </w:tr>
      <w:tr>
        <w:tc>
          <w:tcPr>
            <w:tcW w:type="dxa" w:w="2160"/>
          </w:tcPr>
          <w:p>
            <w:r/>
            <w:r>
              <w:rPr>
                <w:sz w:val="18"/>
              </w:rPr>
              <w:t>9</w:t>
            </w:r>
          </w:p>
        </w:tc>
        <w:tc>
          <w:tcPr>
            <w:tcW w:type="dxa" w:w="2160"/>
          </w:tcPr>
          <w:p>
            <w:r/>
            <w:r>
              <w:rPr>
                <w:sz w:val="18"/>
              </w:rPr>
              <w:t>Sleep quality (very poor to very good)</w:t>
            </w:r>
          </w:p>
        </w:tc>
        <w:tc>
          <w:tcPr>
            <w:tcW w:type="dxa" w:w="2160"/>
          </w:tcPr>
          <w:p>
            <w:r/>
            <w:r>
              <w:rPr>
                <w:sz w:val="18"/>
              </w:rPr>
              <w:t>sleep_quality</w:t>
            </w:r>
          </w:p>
        </w:tc>
        <w:tc>
          <w:tcPr>
            <w:tcW w:type="dxa" w:w="2160"/>
          </w:tcPr>
          <w:p>
            <w:r/>
            <w:r>
              <w:rPr>
                <w:sz w:val="18"/>
              </w:rPr>
              <w:t>Core construct, not an index</w:t>
            </w:r>
          </w:p>
        </w:tc>
      </w:tr>
      <w:tr>
        <w:tc>
          <w:tcPr>
            <w:tcW w:type="dxa" w:w="2160"/>
          </w:tcPr>
          <w:p>
            <w:r/>
            <w:r>
              <w:rPr>
                <w:sz w:val="18"/>
              </w:rPr>
              <w:t>10</w:t>
            </w:r>
          </w:p>
        </w:tc>
        <w:tc>
          <w:tcPr>
            <w:tcW w:type="dxa" w:w="2160"/>
          </w:tcPr>
          <w:p>
            <w:r/>
            <w:r>
              <w:rPr>
                <w:sz w:val="18"/>
              </w:rPr>
              <w:t>Rested or refreshed</w:t>
            </w:r>
          </w:p>
        </w:tc>
        <w:tc>
          <w:tcPr>
            <w:tcW w:type="dxa" w:w="2160"/>
          </w:tcPr>
          <w:p>
            <w:r/>
            <w:r>
              <w:rPr>
                <w:sz w:val="18"/>
              </w:rPr>
              <w:t>restedness</w:t>
            </w:r>
          </w:p>
        </w:tc>
        <w:tc>
          <w:tcPr>
            <w:tcW w:type="dxa" w:w="2160"/>
          </w:tcPr>
          <w:p>
            <w:r/>
            <w:r>
              <w:rPr>
                <w:sz w:val="18"/>
              </w:rPr>
              <w:t>Not an index</w:t>
            </w:r>
          </w:p>
        </w:tc>
      </w:tr>
      <w:tr>
        <w:tc>
          <w:tcPr>
            <w:tcW w:type="dxa" w:w="2160"/>
          </w:tcPr>
          <w:p>
            <w:r/>
            <w:r>
              <w:rPr>
                <w:sz w:val="18"/>
              </w:rPr>
              <w:t>11a / 11b</w:t>
            </w:r>
          </w:p>
        </w:tc>
        <w:tc>
          <w:tcPr>
            <w:tcW w:type="dxa" w:w="2160"/>
          </w:tcPr>
          <w:p>
            <w:r/>
            <w:r>
              <w:rPr>
                <w:sz w:val="18"/>
              </w:rPr>
              <w:t>Nap or doze count and duration</w:t>
            </w:r>
          </w:p>
        </w:tc>
        <w:tc>
          <w:tcPr>
            <w:tcW w:type="dxa" w:w="2160"/>
          </w:tcPr>
          <w:p>
            <w:r/>
            <w:r>
              <w:rPr>
                <w:sz w:val="18"/>
              </w:rPr>
              <w:t>naps[]</w:t>
            </w:r>
          </w:p>
        </w:tc>
        <w:tc>
          <w:tcPr>
            <w:tcW w:type="dxa" w:w="2160"/>
          </w:tcPr>
          <w:p>
            <w:r/>
            <w:r>
              <w:rPr>
                <w:sz w:val="18"/>
              </w:rPr>
              <w:t>Not nocturnal TST</w:t>
            </w:r>
          </w:p>
        </w:tc>
      </w:tr>
      <w:tr>
        <w:tc>
          <w:tcPr>
            <w:tcW w:type="dxa" w:w="2160"/>
          </w:tcPr>
          <w:p>
            <w:r/>
            <w:r>
              <w:rPr>
                <w:sz w:val="18"/>
              </w:rPr>
              <w:t>12–14</w:t>
            </w:r>
          </w:p>
        </w:tc>
        <w:tc>
          <w:tcPr>
            <w:tcW w:type="dxa" w:w="2160"/>
          </w:tcPr>
          <w:p>
            <w:r/>
            <w:r>
              <w:rPr>
                <w:sz w:val="18"/>
              </w:rPr>
              <w:t>Alcohol, caffeine, sleep medication</w:t>
            </w:r>
          </w:p>
        </w:tc>
        <w:tc>
          <w:tcPr>
            <w:tcW w:type="dxa" w:w="2160"/>
          </w:tcPr>
          <w:p>
            <w:r/>
            <w:r>
              <w:rPr>
                <w:sz w:val="18"/>
              </w:rPr>
              <w:t>alcohol_*, caffeine_*, sleep_med_* (text or count as collected)</w:t>
            </w:r>
          </w:p>
        </w:tc>
        <w:tc>
          <w:tcPr>
            <w:tcW w:type="dxa" w:w="2160"/>
          </w:tcPr>
          <w:p>
            <w:r/>
            <w:r>
              <w:rPr>
                <w:sz w:val="18"/>
              </w:rPr>
              <w:t>Covariates</w:t>
            </w:r>
          </w:p>
        </w:tc>
      </w:tr>
      <w:tr>
        <w:tc>
          <w:tcPr>
            <w:tcW w:type="dxa" w:w="2160"/>
          </w:tcPr>
          <w:p>
            <w:r/>
            <w:r>
              <w:rPr>
                <w:sz w:val="18"/>
              </w:rPr>
              <w:t>15</w:t>
            </w:r>
          </w:p>
        </w:tc>
        <w:tc>
          <w:tcPr>
            <w:tcW w:type="dxa" w:w="2160"/>
          </w:tcPr>
          <w:p>
            <w:r/>
            <w:r>
              <w:rPr>
                <w:sz w:val="18"/>
              </w:rPr>
              <w:t>Comments</w:t>
            </w:r>
          </w:p>
        </w:tc>
        <w:tc>
          <w:tcPr>
            <w:tcW w:type="dxa" w:w="2160"/>
          </w:tcPr>
          <w:p>
            <w:r/>
            <w:r>
              <w:rPr>
                <w:sz w:val="18"/>
              </w:rPr>
              <w:t>notes</w:t>
            </w:r>
          </w:p>
        </w:tc>
        <w:tc>
          <w:tcPr>
            <w:tcW w:type="dxa" w:w="2160"/>
          </w:tcPr>
          <w:p>
            <w:r/>
            <w:r>
              <w:rPr>
                <w:sz w:val="18"/>
              </w:rPr>
              <w:t>Free text; not a diagnosis</w:t>
            </w:r>
          </w:p>
        </w:tc>
      </w:tr>
    </w:tbl>
    <w:p/>
    <w:p>
      <w:pPr>
        <w:pStyle w:val="Heading2"/>
      </w:pPr>
      <w:r>
        <w:t>Usability</w:t>
      </w:r>
    </w:p>
    <w:p>
      <w:r>
        <w:t>System Usability Scale, 10 items, 5-point Likert, scored 0–100 (Brooke, 1996). Three structured questions (original to this protocol; not part of CSD-M): (1) After training, could you complete the Lazoo morning diary without help? (2) Was anything in Lazoo confusing compared with the paper or PDF diary? (3) Would you be willing to use Lazoo for a longer research period? Optional short interview on day 15.</w:t>
      </w:r>
    </w:p>
    <w:p>
      <w:pPr>
        <w:pStyle w:val="Heading2"/>
      </w:pPr>
      <w:r>
        <w:t>Background (non-diagnostic)</w:t>
      </w:r>
    </w:p>
    <w:p>
      <w:r>
        <w:t>Age, sex, whether the person currently keeps a sleep diary, and shift work in the previous 14 days. No diagnostic interview, no coded problem list and no diagnostic language on the CRF.</w:t>
      </w:r>
    </w:p>
    <w:p>
      <w:pPr>
        <w:pStyle w:val="Heading1"/>
      </w:pPr>
      <w:r>
        <w:t>11. Study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Activity</w:t>
            </w:r>
          </w:p>
        </w:tc>
        <w:tc>
          <w:tcPr>
            <w:tcW w:type="dxa" w:w="2160"/>
          </w:tcPr>
          <w:p>
            <w:r>
              <w:rPr>
                <w:b/>
              </w:rPr>
            </w:r>
            <w:r>
              <w:rPr>
                <w:b/>
                <w:sz w:val="18"/>
              </w:rPr>
              <w:t>Screen / day 0</w:t>
            </w:r>
          </w:p>
        </w:tc>
        <w:tc>
          <w:tcPr>
            <w:tcW w:type="dxa" w:w="2160"/>
          </w:tcPr>
          <w:p>
            <w:r>
              <w:rPr>
                <w:b/>
              </w:rPr>
            </w:r>
            <w:r>
              <w:rPr>
                <w:b/>
                <w:sz w:val="18"/>
              </w:rPr>
              <w:t>Mornings 1–14</w:t>
            </w:r>
          </w:p>
        </w:tc>
        <w:tc>
          <w:tcPr>
            <w:tcW w:type="dxa" w:w="2160"/>
          </w:tcPr>
          <w:p>
            <w:r>
              <w:rPr>
                <w:b/>
              </w:rPr>
            </w:r>
            <w:r>
              <w:rPr>
                <w:b/>
                <w:sz w:val="18"/>
              </w:rPr>
              <w:t>Day 15 close-out</w:t>
            </w:r>
          </w:p>
        </w:tc>
      </w:tr>
      <w:tr>
        <w:tc>
          <w:tcPr>
            <w:tcW w:type="dxa" w:w="2160"/>
          </w:tcPr>
          <w:p>
            <w:r/>
            <w:r>
              <w:rPr>
                <w:sz w:val="18"/>
              </w:rPr>
              <w:t>Eligibility, consent, ID issued</w:t>
            </w:r>
          </w:p>
        </w:tc>
        <w:tc>
          <w:tcPr>
            <w:tcW w:type="dxa" w:w="2160"/>
          </w:tcPr>
          <w:p>
            <w:r/>
            <w:r>
              <w:rPr>
                <w:sz w:val="18"/>
              </w:rPr>
              <w:t>X</w:t>
            </w:r>
          </w:p>
        </w:tc>
        <w:tc>
          <w:tcPr>
            <w:tcW w:type="dxa" w:w="2160"/>
          </w:tcPr>
          <w:p>
            <w:r/>
          </w:p>
        </w:tc>
        <w:tc>
          <w:tcPr>
            <w:tcW w:type="dxa" w:w="2160"/>
          </w:tcPr>
          <w:p>
            <w:r/>
          </w:p>
        </w:tc>
      </w:tr>
      <w:tr>
        <w:tc>
          <w:tcPr>
            <w:tcW w:type="dxa" w:w="2160"/>
          </w:tcPr>
          <w:p>
            <w:r/>
            <w:r>
              <w:rPr>
                <w:sz w:val="18"/>
              </w:rPr>
              <w:t>Training: CSD-M then Lazoo; two clocks (in_bed vs sleep_attempt)</w:t>
            </w:r>
          </w:p>
        </w:tc>
        <w:tc>
          <w:tcPr>
            <w:tcW w:type="dxa" w:w="2160"/>
          </w:tcPr>
          <w:p>
            <w:r/>
            <w:r>
              <w:rPr>
                <w:sz w:val="18"/>
              </w:rPr>
              <w:t>X</w:t>
            </w:r>
          </w:p>
        </w:tc>
        <w:tc>
          <w:tcPr>
            <w:tcW w:type="dxa" w:w="2160"/>
          </w:tcPr>
          <w:p>
            <w:r/>
          </w:p>
        </w:tc>
        <w:tc>
          <w:tcPr>
            <w:tcW w:type="dxa" w:w="2160"/>
          </w:tcPr>
          <w:p>
            <w:r/>
          </w:p>
        </w:tc>
      </w:tr>
      <w:tr>
        <w:tc>
          <w:tcPr>
            <w:tcW w:type="dxa" w:w="2160"/>
          </w:tcPr>
          <w:p>
            <w:r/>
            <w:r>
              <w:rPr>
                <w:sz w:val="18"/>
              </w:rPr>
              <w:t>Restricted-app access issued (Unlisted or closed testing)</w:t>
            </w:r>
          </w:p>
        </w:tc>
        <w:tc>
          <w:tcPr>
            <w:tcW w:type="dxa" w:w="2160"/>
          </w:tcPr>
          <w:p>
            <w:r/>
            <w:r>
              <w:rPr>
                <w:sz w:val="18"/>
              </w:rPr>
              <w:t>X</w:t>
            </w:r>
          </w:p>
        </w:tc>
        <w:tc>
          <w:tcPr>
            <w:tcW w:type="dxa" w:w="2160"/>
          </w:tcPr>
          <w:p>
            <w:r/>
          </w:p>
        </w:tc>
        <w:tc>
          <w:tcPr>
            <w:tcW w:type="dxa" w:w="2160"/>
          </w:tcPr>
          <w:p>
            <w:r/>
          </w:p>
        </w:tc>
      </w:tr>
      <w:tr>
        <w:tc>
          <w:tcPr>
            <w:tcW w:type="dxa" w:w="2160"/>
          </w:tcPr>
          <w:p>
            <w:r/>
            <w:r>
              <w:rPr>
                <w:sz w:val="18"/>
              </w:rPr>
              <w:t>CSD-M then Lazoo, same sitting</w:t>
            </w:r>
          </w:p>
        </w:tc>
        <w:tc>
          <w:tcPr>
            <w:tcW w:type="dxa" w:w="2160"/>
          </w:tcPr>
          <w:p>
            <w:r/>
          </w:p>
        </w:tc>
        <w:tc>
          <w:tcPr>
            <w:tcW w:type="dxa" w:w="2160"/>
          </w:tcPr>
          <w:p>
            <w:r/>
            <w:r>
              <w:rPr>
                <w:sz w:val="18"/>
              </w:rPr>
              <w:t>Each morning</w:t>
            </w:r>
          </w:p>
        </w:tc>
        <w:tc>
          <w:tcPr>
            <w:tcW w:type="dxa" w:w="2160"/>
          </w:tcPr>
          <w:p>
            <w:r/>
          </w:p>
        </w:tc>
      </w:tr>
      <w:tr>
        <w:tc>
          <w:tcPr>
            <w:tcW w:type="dxa" w:w="2160"/>
          </w:tcPr>
          <w:p>
            <w:r/>
            <w:r>
              <w:rPr>
                <w:sz w:val="18"/>
              </w:rPr>
              <w:t>Deviation and missed-morning log</w:t>
            </w:r>
          </w:p>
        </w:tc>
        <w:tc>
          <w:tcPr>
            <w:tcW w:type="dxa" w:w="2160"/>
          </w:tcPr>
          <w:p>
            <w:r/>
          </w:p>
        </w:tc>
        <w:tc>
          <w:tcPr>
            <w:tcW w:type="dxa" w:w="2160"/>
          </w:tcPr>
          <w:p>
            <w:r/>
            <w:r>
              <w:rPr>
                <w:sz w:val="18"/>
              </w:rPr>
              <w:t>As needed</w:t>
            </w:r>
          </w:p>
        </w:tc>
        <w:tc>
          <w:tcPr>
            <w:tcW w:type="dxa" w:w="2160"/>
          </w:tcPr>
          <w:p>
            <w:r/>
            <w:r>
              <w:rPr>
                <w:sz w:val="18"/>
              </w:rPr>
              <w:t>X</w:t>
            </w:r>
          </w:p>
        </w:tc>
      </w:tr>
      <w:tr>
        <w:tc>
          <w:tcPr>
            <w:tcW w:type="dxa" w:w="2160"/>
          </w:tcPr>
          <w:p>
            <w:r/>
            <w:r>
              <w:rPr>
                <w:sz w:val="18"/>
              </w:rPr>
              <w:t>Return CSD-M source worksheets</w:t>
            </w:r>
          </w:p>
        </w:tc>
        <w:tc>
          <w:tcPr>
            <w:tcW w:type="dxa" w:w="2160"/>
          </w:tcPr>
          <w:p>
            <w:r/>
          </w:p>
        </w:tc>
        <w:tc>
          <w:tcPr>
            <w:tcW w:type="dxa" w:w="2160"/>
          </w:tcPr>
          <w:p>
            <w:r/>
          </w:p>
        </w:tc>
        <w:tc>
          <w:tcPr>
            <w:tcW w:type="dxa" w:w="2160"/>
          </w:tcPr>
          <w:p>
            <w:r/>
            <w:r>
              <w:rPr>
                <w:sz w:val="18"/>
              </w:rPr>
              <w:t>X</w:t>
            </w:r>
          </w:p>
        </w:tc>
      </w:tr>
      <w:tr>
        <w:tc>
          <w:tcPr>
            <w:tcW w:type="dxa" w:w="2160"/>
          </w:tcPr>
          <w:p>
            <w:r/>
            <w:r>
              <w:rPr>
                <w:sz w:val="18"/>
              </w:rPr>
              <w:t>Lazoo JSON and CSV export receipt</w:t>
            </w:r>
          </w:p>
        </w:tc>
        <w:tc>
          <w:tcPr>
            <w:tcW w:type="dxa" w:w="2160"/>
          </w:tcPr>
          <w:p>
            <w:r/>
          </w:p>
        </w:tc>
        <w:tc>
          <w:tcPr>
            <w:tcW w:type="dxa" w:w="2160"/>
          </w:tcPr>
          <w:p>
            <w:r/>
          </w:p>
        </w:tc>
        <w:tc>
          <w:tcPr>
            <w:tcW w:type="dxa" w:w="2160"/>
          </w:tcPr>
          <w:p>
            <w:r/>
            <w:r>
              <w:rPr>
                <w:sz w:val="18"/>
              </w:rPr>
              <w:t>X</w:t>
            </w:r>
          </w:p>
        </w:tc>
      </w:tr>
      <w:tr>
        <w:tc>
          <w:tcPr>
            <w:tcW w:type="dxa" w:w="2160"/>
          </w:tcPr>
          <w:p>
            <w:r/>
            <w:r>
              <w:rPr>
                <w:sz w:val="18"/>
              </w:rPr>
              <w:t>SUS and three structured questions</w:t>
            </w:r>
          </w:p>
        </w:tc>
        <w:tc>
          <w:tcPr>
            <w:tcW w:type="dxa" w:w="2160"/>
          </w:tcPr>
          <w:p>
            <w:r/>
          </w:p>
        </w:tc>
        <w:tc>
          <w:tcPr>
            <w:tcW w:type="dxa" w:w="2160"/>
          </w:tcPr>
          <w:p>
            <w:r/>
          </w:p>
        </w:tc>
        <w:tc>
          <w:tcPr>
            <w:tcW w:type="dxa" w:w="2160"/>
          </w:tcPr>
          <w:p>
            <w:r/>
            <w:r>
              <w:rPr>
                <w:sz w:val="18"/>
              </w:rPr>
              <w:t>X</w:t>
            </w:r>
          </w:p>
        </w:tc>
      </w:tr>
      <w:tr>
        <w:tc>
          <w:tcPr>
            <w:tcW w:type="dxa" w:w="2160"/>
          </w:tcPr>
          <w:p>
            <w:r/>
            <w:r>
              <w:rPr>
                <w:sz w:val="18"/>
              </w:rPr>
              <w:t>Optional interview</w:t>
            </w:r>
          </w:p>
        </w:tc>
        <w:tc>
          <w:tcPr>
            <w:tcW w:type="dxa" w:w="2160"/>
          </w:tcPr>
          <w:p>
            <w:r/>
          </w:p>
        </w:tc>
        <w:tc>
          <w:tcPr>
            <w:tcW w:type="dxa" w:w="2160"/>
          </w:tcPr>
          <w:p>
            <w:r/>
          </w:p>
        </w:tc>
        <w:tc>
          <w:tcPr>
            <w:tcW w:type="dxa" w:w="2160"/>
          </w:tcPr>
          <w:p>
            <w:r/>
            <w:r>
              <w:rPr>
                <w:sz w:val="18"/>
              </w:rPr>
              <w:t>X</w:t>
            </w:r>
          </w:p>
        </w:tc>
      </w:tr>
      <w:tr>
        <w:tc>
          <w:tcPr>
            <w:tcW w:type="dxa" w:w="2160"/>
          </w:tcPr>
          <w:p>
            <w:r/>
            <w:r>
              <w:rPr>
                <w:sz w:val="18"/>
              </w:rPr>
              <w:t>Distress signposting available</w:t>
            </w:r>
          </w:p>
        </w:tc>
        <w:tc>
          <w:tcPr>
            <w:tcW w:type="dxa" w:w="2160"/>
          </w:tcPr>
          <w:p>
            <w:r/>
            <w:r>
              <w:rPr>
                <w:sz w:val="18"/>
              </w:rPr>
              <w:t>X</w:t>
            </w:r>
          </w:p>
        </w:tc>
        <w:tc>
          <w:tcPr>
            <w:tcW w:type="dxa" w:w="2160"/>
          </w:tcPr>
          <w:p>
            <w:r/>
            <w:r>
              <w:rPr>
                <w:sz w:val="18"/>
              </w:rPr>
              <w:t>X</w:t>
            </w:r>
          </w:p>
        </w:tc>
        <w:tc>
          <w:tcPr>
            <w:tcW w:type="dxa" w:w="2160"/>
          </w:tcPr>
          <w:p>
            <w:r/>
            <w:r>
              <w:rPr>
                <w:sz w:val="18"/>
              </w:rPr>
              <w:t>X</w:t>
            </w:r>
          </w:p>
        </w:tc>
      </w:tr>
      <w:tr>
        <w:tc>
          <w:tcPr>
            <w:tcW w:type="dxa" w:w="2160"/>
          </w:tcPr>
          <w:p>
            <w:r/>
            <w:r>
              <w:rPr>
                <w:sz w:val="18"/>
              </w:rPr>
              <w:t>Actigraphy</w:t>
            </w:r>
          </w:p>
        </w:tc>
        <w:tc>
          <w:tcPr>
            <w:tcW w:type="dxa" w:w="2160"/>
          </w:tcPr>
          <w:p>
            <w:r/>
            <w:r>
              <w:rPr>
                <w:sz w:val="18"/>
              </w:rPr>
              <w:t>Not included</w:t>
            </w:r>
          </w:p>
        </w:tc>
        <w:tc>
          <w:tcPr>
            <w:tcW w:type="dxa" w:w="2160"/>
          </w:tcPr>
          <w:p>
            <w:r/>
            <w:r>
              <w:rPr>
                <w:sz w:val="18"/>
              </w:rPr>
              <w:t>Not included</w:t>
            </w:r>
          </w:p>
        </w:tc>
        <w:tc>
          <w:tcPr>
            <w:tcW w:type="dxa" w:w="2160"/>
          </w:tcPr>
          <w:p>
            <w:r/>
            <w:r>
              <w:rPr>
                <w:sz w:val="18"/>
              </w:rPr>
              <w:t>Not included</w:t>
            </w:r>
          </w:p>
        </w:tc>
      </w:tr>
    </w:tbl>
    <w:p/>
    <w:p>
      <w:r>
        <w:t>Windows: a morning diary is expected after the main sleep episode, on the same calendar morning. Entries more than 24 hours late are marked late; the SAP will state whether late entries remain primary-evaluable (default: no, if either diary was completed after the next night’s sleep_attempt).</w:t>
      </w:r>
    </w:p>
    <w:p>
      <w:pPr>
        <w:pStyle w:val="Heading1"/>
      </w:pPr>
      <w:r>
        <w:t>12. Endpoints</w:t>
      </w:r>
    </w:p>
    <w:p>
      <w:r>
        <w:t>For this agreement study, calculated TST is the primary study quantity. It is not a product claim. The two bedtime clock times are kept separate, and item 8 remains exploratory.</w:t>
      </w:r>
    </w:p>
    <w:p>
      <w:pPr>
        <w:pStyle w:val="Heading2"/>
      </w:pPr>
      <w:r>
        <w:t>Derived quantities (both diaries, same formula)</w:t>
      </w:r>
    </w:p>
    <w:p>
      <w:r>
        <w:t>Clock times are datetimes on the diary_date (with the previous calendar day allowed for in_bed and sleep_attempt). Durations are in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time) = sleep_attempt + SOL</w:t>
      </w:r>
    </w:p>
    <w:p>
      <w:r>
        <w:t>in_bed and sleep_attempt must not be collapsed. Naps and dozes do not enter nocturnal TST. WASO is the total of awakenings excluding the final wake. Primary TWAK uses out_of_bed − wake, not CSD-M item 6b. Item 6b (twak_try_min) may be used only in a pre-specified sensitivity analysis if collected.</w:t>
      </w:r>
    </w:p>
    <w:p>
      <w:r>
        <w:t>A primary-evaluable paired morning has, on both diaries, sleep_attempt, SOL, WASO, wake and out_of_bed, all internally consistent (out_of_bed ≥ wake ≥ sleep_attempt; SOL ≥ 0; WASO ≥ 0; TST ≥ 0). in_bed is required for TIB and SE secondary analyses and is still collected every morning.</w:t>
      </w:r>
    </w:p>
    <w:p>
      <w:pPr>
        <w:pStyle w:val="Heading2"/>
      </w:pPr>
      <w:r>
        <w:t>Primary endpoint</w:t>
      </w:r>
    </w:p>
    <w:p>
      <w:r>
        <w:t>Night-level difference in calculated TST: Lazoo minus CSD-M, in minutes. Analysis: Bland–Altman mean bias and 95% limits of agreement, with nights clustered within participant. No diagnostic cut-point. No claim that Lazoo is valid for diagnosing insomnia or any other condition.</w:t>
      </w:r>
    </w:p>
    <w:p>
      <w:pPr>
        <w:pStyle w:val="Heading2"/>
      </w:pPr>
      <w:r>
        <w:t>Secondary endpoints</w:t>
      </w:r>
    </w:p>
    <w:p>
      <w:pPr>
        <w:pStyle w:val="ListBullet"/>
      </w:pPr>
      <w:r>
        <w:t>Bland–Altman (and ICC, method in SAP) for SOL, WASO, SE and awakenings_n.</w:t>
      </w:r>
    </w:p>
    <w:p>
      <w:pPr>
        <w:pStyle w:val="ListBullet"/>
      </w:pPr>
      <w:r>
        <w:t>Completeness: proportion of mornings with both diaries; item-level missingness; proportion of participants who are completers (at least 10 of 14 evaluable paired mornings).</w:t>
      </w:r>
    </w:p>
    <w:p>
      <w:pPr>
        <w:pStyle w:val="ListBullet"/>
      </w:pPr>
      <w:r>
        <w:t>Timestamp and audit: proportion of Lazoo entries with client and server timestamps; proportion of edits with who, what and when recorded and the original value retained.</w:t>
      </w:r>
    </w:p>
    <w:p>
      <w:pPr>
        <w:pStyle w:val="ListBullet"/>
      </w:pPr>
      <w:r>
        <w:t>SUS total score (0–100); descriptive summaries of the three structured questions.</w:t>
      </w:r>
    </w:p>
    <w:p>
      <w:pPr>
        <w:pStyle w:val="Heading2"/>
      </w:pPr>
      <w:r>
        <w:t>Exploratory</w:t>
      </w:r>
    </w:p>
    <w:p>
      <w:r>
        <w:t>Calculated TST versus tst_subjective (CSD-M item 8 construct) on each diary; between-diary difference on item 8. Lifestyle text and naps as covariates or descriptors only.</w:t>
      </w:r>
    </w:p>
    <w:p>
      <w:pPr>
        <w:pStyle w:val="Heading2"/>
      </w:pPr>
      <w:r>
        <w:t>Sample size</w:t>
      </w:r>
    </w:p>
    <w:p>
      <w:r>
        <w:t>Feasibility floor: 30 completers. This is not the final n. The signed SAP will calculate n, with a sleep statistician, so that the 95% confidence interval around the TST limits of agreement is usable. Until the SAP is signed, 30 is not described as a powered Bland–Altman sample.</w:t>
      </w:r>
    </w:p>
    <w:p>
      <w:r>
        <w:t>To be confirmed: signed SAP and statistician appointment.</w:t>
      </w:r>
    </w:p>
    <w:p>
      <w:pPr>
        <w:pStyle w:val="Heading1"/>
      </w:pPr>
      <w:r>
        <w:t>13. Safety Reporting</w:t>
      </w:r>
    </w:p>
    <w:p>
      <w:r>
        <w:t>This study makes no clinical claim and delivers no in-app interpretation. The device vigilance and incident-reporting route is to be confirmed once UK MDR clinical-investigation status is determined (see Ethics and Regulatory Considerations).</w:t>
      </w:r>
    </w:p>
    <w:p>
      <w:r>
        <w:t>If a participant reports distress, study staff signpost them to their GP, NHS 111 or Samaritans (116 123). No NHS PALS contact is printed on sponsor participant documents. The signposting is recorded on the adverse event and distress log.</w:t>
      </w:r>
    </w:p>
    <w:p>
      <w:r>
        <w:t>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r>
        <w:t>The app is not an emergency service. The participant information sheet will say so in plain language.</w:t>
      </w:r>
    </w:p>
    <w:p>
      <w:pPr>
        <w:pStyle w:val="Heading1"/>
      </w:pPr>
      <w:r>
        <w:t>14. Data Management</w:t>
      </w:r>
    </w:p>
    <w:p>
      <w:r>
        <w:t>Full rules are in the LAZ-VAL-001 DMP (version 0.3, 11 October 2026). Summary:</w:t>
      </w:r>
    </w:p>
    <w:p>
      <w:pPr>
        <w:pStyle w:val="ListBullet"/>
      </w:pPr>
      <w:r>
        <w:t>Lazoo export: JSON and CSV, raw timestamps, study_link, consent-pack version, app version and operating system.</w:t>
      </w:r>
    </w:p>
    <w:p>
      <w:pPr>
        <w:pStyle w:val="ListBullet"/>
      </w:pPr>
      <w:r>
        <w:t>CSD-M: source worksheets retained (if licensed) or construct worksheets; double-entered or photographed with a file log.</w:t>
      </w:r>
    </w:p>
    <w:p>
      <w:pPr>
        <w:pStyle w:val="ListBullet"/>
      </w:pPr>
      <w:r>
        <w:t>Pairing key: participant ID and diary_date.</w:t>
      </w:r>
    </w:p>
    <w:p>
      <w:pPr>
        <w:pStyle w:val="ListBullet"/>
      </w:pPr>
      <w:r>
        <w:t>Lazoo edits: append-only audit trail (who, what, when); original value retained.</w:t>
      </w:r>
    </w:p>
    <w:p>
      <w:pPr>
        <w:pStyle w:val="ListBullet"/>
      </w:pPr>
      <w:r>
        <w:t>Identifiable files on sponsor-controlled storage. Analysis file pseudonymised. Partner site handling of identifiable data to be limited to what the site/services agreement and DPIA permit.</w:t>
      </w:r>
    </w:p>
    <w:p>
      <w:pPr>
        <w:pStyle w:val="ListBullet"/>
      </w:pPr>
      <w:r>
        <w:t>Default consents: toggles 1 and 3 only. Toggle 4 off unless added by amendment. No training of a future model on these data without toggle 4 and a protocol that says so.</w:t>
      </w:r>
    </w:p>
    <w:p>
      <w:pPr>
        <w:pStyle w:val="ListBullet"/>
      </w:pPr>
      <w:r>
        <w:t>No participant-identifiable exports by open email.</w:t>
      </w:r>
    </w:p>
    <w:p>
      <w:pPr>
        <w:pStyle w:val="ListBullet"/>
      </w:pPr>
      <w:r>
        <w:t>No identifiable free text leaves Sleep and Health Clinic App Ltd. Free-text fields (for example diary comments and interview notes) are reviewed and stripped of identifiers before any analysis file is shared.</w:t>
      </w:r>
    </w:p>
    <w:p>
      <w:pPr>
        <w:pStyle w:val="ListBullet"/>
      </w:pPr>
      <w:r>
        <w:t>Any transfer of study data from the sponsor to another party, including the Partner site, a statistician or a vendor, requires a current data note approved by the sponsor before transfer. Earlier data-sharing notes do not cover this study.</w:t>
      </w:r>
    </w:p>
    <w:p>
      <w:r>
        <w:t>Data controller for this study: Sleep and Health Clinic App Ltd. The Partner site acts as processor for study data (see Information Governance and UK GDPR). Sleep and Health Clinic Ltd is not a controller and does not receive identifiable study data.</w:t>
      </w:r>
    </w:p>
    <w:p>
      <w:pPr>
        <w:pStyle w:val="Heading1"/>
      </w:pPr>
      <w:r>
        <w:t>15. Statistical Analysis Plan</w:t>
      </w:r>
    </w:p>
    <w:p>
      <w:r>
        <w:t>A separate signed SAP will be filed before database lock and before any ethics submission. Until then, the following is sufficient to design the CRF and DMP but is not a substitute for the SAP.</w:t>
      </w:r>
    </w:p>
    <w:p>
      <w:pPr>
        <w:pStyle w:val="ListBullet"/>
      </w:pPr>
      <w:r>
        <w:t>Analysis populations: (i) all consented; (ii) completers (at least 10 of 14 evaluable paired mornings), the feasibility population; (iii) all evaluable paired mornings.</w:t>
      </w:r>
    </w:p>
    <w:p>
      <w:pPr>
        <w:pStyle w:val="ListBullet"/>
      </w:pPr>
      <w:r>
        <w:t>Primary: Bland–Altman of night-level calculated TST (Lazoo − CSD-M). Report mean bias, SD of differences and 95% limits of agreement. Clustering of nights within person will be handled by a method named in the SAP (for example Bland and Altman 2007 repeated-measures limits, or a mixed-effects residual SD).</w:t>
      </w:r>
    </w:p>
    <w:p>
      <w:pPr>
        <w:pStyle w:val="ListBullet"/>
      </w:pPr>
      <w:r>
        <w:t>Secondary agreement: the same approach for SOL, WASO, SE and awakenings_n; ICC for absolute agreement, specification in the SAP.</w:t>
      </w:r>
    </w:p>
    <w:p>
      <w:pPr>
        <w:pStyle w:val="ListBullet"/>
      </w:pPr>
      <w:r>
        <w:t>Completeness, timestamps and SUS: descriptive. No multiplicity adjustment unless the SAP adds one.</w:t>
      </w:r>
    </w:p>
    <w:p>
      <w:pPr>
        <w:pStyle w:val="ListBullet"/>
      </w:pPr>
      <w:r>
        <w:t>Missing data: primary analysis on evaluable paired mornings. No imputation of clock times for the primary analysis unless the SAP defines a rule.</w:t>
      </w:r>
    </w:p>
    <w:p>
      <w:pPr>
        <w:pStyle w:val="ListBullet"/>
      </w:pPr>
      <w:r>
        <w:t>No diagnostic cut-points, ROC curves or diagnostic-accuracy analyses.</w:t>
      </w:r>
    </w:p>
    <w:p>
      <w:pPr>
        <w:pStyle w:val="ListBullet"/>
      </w:pPr>
      <w:r>
        <w:t>Software: to be named in the SAP.</w:t>
      </w:r>
    </w:p>
    <w:p>
      <w:r>
        <w:t>The analysis is conducted by or for the sponsor. Results and analysis files belong to the sponsor (see Intellectual Property and Data Ownership).</w:t>
      </w:r>
    </w:p>
    <w:p>
      <w:pPr>
        <w:pStyle w:val="Heading1"/>
      </w:pPr>
      <w:r>
        <w:t>16. Ethics and Regulatory Considerations</w:t>
      </w:r>
    </w:p>
    <w:p>
      <w:pPr>
        <w:pStyle w:val="ListBullet"/>
      </w:pPr>
      <w:r>
        <w:t>This is research (generalisable knowledge about diary agreement and usability). Independent ethics review is required before the first participant. Not submitted. No IRAS ID. No favourable opinion.</w:t>
      </w:r>
    </w:p>
    <w:p>
      <w:pPr>
        <w:pStyle w:val="ListBullet"/>
      </w:pPr>
      <w:r>
        <w:t>Ethics and approvals route: to be confirmed. If the Partner site is an NHS organisation, the study is expected to need submission through IRAS, NHS REC review and HRA Approval before the site opens. If the Partner site is a university and no NHS organisation is involved, the appropriate ethics route is to be confirmed. The HRA decision tools are to be run and the outcome filed.</w:t>
      </w:r>
    </w:p>
    <w:p>
      <w:pPr>
        <w:pStyle w:val="ListBullet"/>
      </w:pPr>
      <w:r>
        <w:t>Not a CTIMP. No MHRA clinical trial authorisation.</w:t>
      </w:r>
    </w:p>
    <w:p>
      <w:pPr>
        <w:pStyle w:val="ListBullet"/>
      </w:pPr>
      <w:r>
        <w:t>UK MDR 2002 clinical-investigation status: to be confirmed. The applicable provision is regulation 16 of the Medical Devices Regulations 2002 (procedures for general medical devices for clinical investigations). Regulation 29 applies only to active implantable medical devices and does not apply to Lazoo. Because the draft intended purpose now includes insomnia diagnosis and monitoring, the sponsor must determine, before submission, whether this study is a clinical investigation of a medical device requiring notification to the MHRA. No MHRA notification has been made, and this protocol does not state that notification is unnecessary.</w:t>
      </w:r>
    </w:p>
    <w:p>
      <w:pPr>
        <w:pStyle w:val="ListBullet"/>
      </w:pPr>
      <w:r>
        <w:t>Transparency: register before the first participant (ISRCTN or equivalent). Not yet registered.</w:t>
      </w:r>
    </w:p>
    <w:p>
      <w:pPr>
        <w:pStyle w:val="ListBullet"/>
      </w:pPr>
      <w:r>
        <w:t>Sponsor duties: Sleep and Health Clinic App Ltd accepts the sponsor responsibilities set out in the UK Policy Framework for Health and Social Care Research. Duties delegated to the Partner site are to be set out in the site/services agreement and the delegation logs. Sponsor duties are not delegated to Sleep and Health Clinic Ltd.</w:t>
      </w:r>
    </w:p>
    <w:p>
      <w:pPr>
        <w:pStyle w:val="ListBullet"/>
      </w:pPr>
      <w:r>
        <w:t>Participant-facing contact: admin@sleepandhealth.org, plus any Partner site contact approved by the ethics committee. No personal email address. No NHS PALS line on sponsor documents.</w:t>
      </w:r>
    </w:p>
    <w:p>
      <w:pPr>
        <w:pStyle w:val="ListBullet"/>
      </w:pPr>
      <w:r>
        <w:t>Consent toggles as in LAZ-TPL-CONSENT. This study requires toggles 1 and 3. Toggle 4 default off.</w:t>
      </w:r>
    </w:p>
    <w:p>
      <w:pPr>
        <w:pStyle w:val="ListBullet"/>
      </w:pPr>
      <w:r>
        <w:t>Conflicts of interest are declared in the ethics submission and the participant information sheet (see Study Management, Roles and Delegation).</w:t>
      </w:r>
    </w:p>
    <w:p>
      <w:r>
        <w:t>The UK Policy Framework for Health and Social Care Research applies. ICH E6(R3) is used as good practice for essential records; this is not a CTIMP trial master file.</w:t>
      </w:r>
    </w:p>
    <w:p>
      <w:pPr>
        <w:pStyle w:val="Heading1"/>
      </w:pPr>
      <w:r>
        <w:t>17. Sponsorship, Funding and Contracts</w:t>
      </w:r>
    </w:p>
    <w:p>
      <w:pPr>
        <w:pStyle w:val="Heading2"/>
      </w:pPr>
      <w:r>
        <w:t>Sponsorship</w:t>
      </w:r>
    </w:p>
    <w:p>
      <w:r>
        <w:t>Sleep and Health Clinic App Ltd (12467350) is the sole sponsor. There is no co-sponsor and no joint sponsor. The Partner site and Sleep and Health Clinic Ltd do not act as sponsor, co-sponsor or legal representative.</w:t>
      </w:r>
    </w:p>
    <w:p>
      <w:pPr>
        <w:pStyle w:val="Heading2"/>
      </w:pPr>
      <w:r>
        <w:t>Sponsor oversight</w:t>
      </w:r>
    </w:p>
    <w:p>
      <w:r>
        <w:t>The sponsor holds, or will hold before submission, the documents listed in Appendix O. Each is shown as signed, draft or not started, with an owner. Sponsor duties are not delegated to the partner site except as set out in the site agreement and delegation log.</w:t>
      </w:r>
    </w:p>
    <w:p>
      <w:pPr>
        <w:pStyle w:val="Heading2"/>
      </w:pPr>
      <w:r>
        <w:t>Funding</w:t>
      </w:r>
    </w:p>
    <w:p>
      <w:r>
        <w:t>Sleep and Health Clinic App Ltd holds and administers all study funds. As at 11 October 2026 the study is funded internally by the sponsor and no external grant has been awarded. If external funding is obtained (for example an NIHR i4i award), it will be awarded to and held by the sponsor as lead applicant, and any partner participation will be paid by the sponsor. The status of any funding application is to be confirmed.</w:t>
      </w:r>
    </w:p>
    <w:p>
      <w:r>
        <w:t>The Partner site is paid by the sponsor for services delivered under the site/services agreement, against a costed schedule. Costs and payment terms are to be confirmed. No study funds are paid to, or held by, the Partner site other than under that agreement. Consideration for clinical advice from Sleep and Health Clinic Ltd is as set out in LAZ-AGR-001 and is to be confirmed before signature.</w:t>
      </w:r>
    </w:p>
    <w:p>
      <w:pPr>
        <w:pStyle w:val="Heading2"/>
      </w:pPr>
      <w:r>
        <w:t>Contracts and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Agreement</w:t>
            </w:r>
          </w:p>
        </w:tc>
        <w:tc>
          <w:tcPr>
            <w:tcW w:type="dxa" w:w="2160"/>
          </w:tcPr>
          <w:p>
            <w:r>
              <w:rPr>
                <w:b/>
              </w:rPr>
            </w:r>
            <w:r>
              <w:rPr>
                <w:b/>
                <w:sz w:val="18"/>
              </w:rPr>
              <w:t>Parties</w:t>
            </w:r>
          </w:p>
        </w:tc>
        <w:tc>
          <w:tcPr>
            <w:tcW w:type="dxa" w:w="2160"/>
          </w:tcPr>
          <w:p>
            <w:r>
              <w:rPr>
                <w:b/>
              </w:rPr>
            </w:r>
            <w:r>
              <w:rPr>
                <w:b/>
                <w:sz w:val="18"/>
              </w:rPr>
              <w:t>Purpose</w:t>
            </w:r>
          </w:p>
        </w:tc>
        <w:tc>
          <w:tcPr>
            <w:tcW w:type="dxa" w:w="2160"/>
          </w:tcPr>
          <w:p>
            <w:r>
              <w:rPr>
                <w:b/>
              </w:rPr>
            </w:r>
            <w:r>
              <w:rPr>
                <w:b/>
                <w:sz w:val="18"/>
              </w:rPr>
              <w:t>Status at 11 October 2026</w:t>
            </w:r>
          </w:p>
        </w:tc>
      </w:tr>
      <w:tr>
        <w:tc>
          <w:tcPr>
            <w:tcW w:type="dxa" w:w="2160"/>
          </w:tcPr>
          <w:p>
            <w:r/>
            <w:r>
              <w:rPr>
                <w:sz w:val="18"/>
              </w:rPr>
              <w:t>Site/services agreement</w:t>
            </w:r>
          </w:p>
        </w:tc>
        <w:tc>
          <w:tcPr>
            <w:tcW w:type="dxa" w:w="2160"/>
          </w:tcPr>
          <w:p>
            <w:r/>
            <w:r>
              <w:rPr>
                <w:sz w:val="18"/>
              </w:rPr>
              <w:t>Sleep and Health Clinic App Ltd and Partner site (to be confirmed)</w:t>
            </w:r>
          </w:p>
        </w:tc>
        <w:tc>
          <w:tcPr>
            <w:tcW w:type="dxa" w:w="2160"/>
          </w:tcPr>
          <w:p>
            <w:r/>
            <w:r>
              <w:rPr>
                <w:sz w:val="18"/>
              </w:rPr>
              <w:t>Engages the Partner site as a subcontracted site paid by the sponsor; records sponsor ownership of all intellectual property, data and results, publication subject to sponsor review, confidentiality, data protection, indemnity, monitoring and audit access</w:t>
            </w:r>
          </w:p>
        </w:tc>
        <w:tc>
          <w:tcPr>
            <w:tcW w:type="dxa" w:w="2160"/>
          </w:tcPr>
          <w:p>
            <w:r/>
            <w:r>
              <w:rPr>
                <w:sz w:val="18"/>
              </w:rPr>
              <w:t>Not drafted. Not signed. For an NHS organisation, the current HRA model agreement is used unmodified; for a clinical investigation of a device this is the model Clinical Investigation Agreement (version 6.0, August 2026, at the date of this protocol). For a university, a contract-research or services agreement, with terms to be agreed.</w:t>
            </w:r>
          </w:p>
        </w:tc>
      </w:tr>
      <w:tr>
        <w:tc>
          <w:tcPr>
            <w:tcW w:type="dxa" w:w="2160"/>
          </w:tcPr>
          <w:p>
            <w:r/>
            <w:r>
              <w:rPr>
                <w:sz w:val="18"/>
              </w:rPr>
              <w:t>LAZ-AGR-001 Clinical support agreement</w:t>
            </w:r>
          </w:p>
        </w:tc>
        <w:tc>
          <w:tcPr>
            <w:tcW w:type="dxa" w:w="2160"/>
          </w:tcPr>
          <w:p>
            <w:r/>
            <w:r>
              <w:rPr>
                <w:sz w:val="18"/>
              </w:rPr>
              <w:t>Sleep and Health Clinic App Ltd and Sleep and Health Clinic Ltd</w:t>
            </w:r>
          </w:p>
        </w:tc>
        <w:tc>
          <w:tcPr>
            <w:tcW w:type="dxa" w:w="2160"/>
          </w:tcPr>
          <w:p>
            <w:r/>
            <w:r>
              <w:rPr>
                <w:sz w:val="18"/>
              </w:rPr>
              <w:t>Clinical advice only; related-party arrangement</w:t>
            </w:r>
          </w:p>
        </w:tc>
        <w:tc>
          <w:tcPr>
            <w:tcW w:type="dxa" w:w="2160"/>
          </w:tcPr>
          <w:p>
            <w:r/>
            <w:r>
              <w:rPr>
                <w:sz w:val="18"/>
              </w:rPr>
              <w:t>Drafted version 0.1. To be signed. Not in force.</w:t>
            </w:r>
          </w:p>
        </w:tc>
      </w:tr>
      <w:tr>
        <w:tc>
          <w:tcPr>
            <w:tcW w:type="dxa" w:w="2160"/>
          </w:tcPr>
          <w:p>
            <w:r/>
            <w:r>
              <w:rPr>
                <w:sz w:val="18"/>
              </w:rPr>
              <w:t>CSD-M industry licence</w:t>
            </w:r>
          </w:p>
        </w:tc>
        <w:tc>
          <w:tcPr>
            <w:tcW w:type="dxa" w:w="2160"/>
          </w:tcPr>
          <w:p>
            <w:r/>
            <w:r>
              <w:rPr>
                <w:sz w:val="18"/>
              </w:rPr>
              <w:t>Sleep and Health Clinic App Ltd and Dr Colleen Carney (copyright holder)</w:t>
            </w:r>
          </w:p>
        </w:tc>
        <w:tc>
          <w:tcPr>
            <w:tcW w:type="dxa" w:w="2160"/>
          </w:tcPr>
          <w:p>
            <w:r/>
            <w:r>
              <w:rPr>
                <w:sz w:val="18"/>
              </w:rPr>
              <w:t>Use of the comparator instrument</w:t>
            </w:r>
          </w:p>
        </w:tc>
        <w:tc>
          <w:tcPr>
            <w:tcW w:type="dxa" w:w="2160"/>
          </w:tcPr>
          <w:p>
            <w:r/>
            <w:r>
              <w:rPr>
                <w:sz w:val="18"/>
              </w:rPr>
              <w:t>Not on file. To be confirmed.</w:t>
            </w:r>
          </w:p>
        </w:tc>
      </w:tr>
      <w:tr>
        <w:tc>
          <w:tcPr>
            <w:tcW w:type="dxa" w:w="2160"/>
          </w:tcPr>
          <w:p>
            <w:r/>
            <w:r>
              <w:rPr>
                <w:sz w:val="18"/>
              </w:rPr>
              <w:t>Data processing agreements</w:t>
            </w:r>
          </w:p>
        </w:tc>
        <w:tc>
          <w:tcPr>
            <w:tcW w:type="dxa" w:w="2160"/>
          </w:tcPr>
          <w:p>
            <w:r/>
            <w:r>
              <w:rPr>
                <w:sz w:val="18"/>
              </w:rPr>
              <w:t>Sleep and Health Clinic App Ltd and app-hosting and other vendors</w:t>
            </w:r>
          </w:p>
        </w:tc>
        <w:tc>
          <w:tcPr>
            <w:tcW w:type="dxa" w:w="2160"/>
          </w:tcPr>
          <w:p>
            <w:r/>
            <w:r>
              <w:rPr>
                <w:sz w:val="18"/>
              </w:rPr>
              <w:t>Processing of study data</w:t>
            </w:r>
          </w:p>
        </w:tc>
        <w:tc>
          <w:tcPr>
            <w:tcW w:type="dxa" w:w="2160"/>
          </w:tcPr>
          <w:p>
            <w:r/>
            <w:r>
              <w:rPr>
                <w:sz w:val="18"/>
              </w:rPr>
              <w:t>To be listed in the DMP when vendors are contracted.</w:t>
            </w:r>
          </w:p>
        </w:tc>
      </w:tr>
      <w:tr>
        <w:tc>
          <w:tcPr>
            <w:tcW w:type="dxa" w:w="2160"/>
          </w:tcPr>
          <w:p>
            <w:r/>
            <w:r>
              <w:rPr>
                <w:sz w:val="18"/>
              </w:rPr>
              <w:t>Recruitment platform terms</w:t>
            </w:r>
          </w:p>
        </w:tc>
        <w:tc>
          <w:tcPr>
            <w:tcW w:type="dxa" w:w="2160"/>
          </w:tcPr>
          <w:p>
            <w:r/>
            <w:r>
              <w:rPr>
                <w:sz w:val="18"/>
              </w:rPr>
              <w:t>Sleep and Health Clinic App Ltd and Prolific</w:t>
            </w:r>
          </w:p>
        </w:tc>
        <w:tc>
          <w:tcPr>
            <w:tcW w:type="dxa" w:w="2160"/>
          </w:tcPr>
          <w:p>
            <w:r/>
            <w:r>
              <w:rPr>
                <w:sz w:val="18"/>
              </w:rPr>
              <w:t>Default recruitment route, through the sponsor’s own account</w:t>
            </w:r>
          </w:p>
        </w:tc>
        <w:tc>
          <w:tcPr>
            <w:tcW w:type="dxa" w:w="2160"/>
          </w:tcPr>
          <w:p>
            <w:r/>
            <w:r>
              <w:rPr>
                <w:sz w:val="18"/>
              </w:rPr>
              <w:t>To be confirmed. Data-protection terms to be recorded in the DMP and DPIA before recruitment opens.</w:t>
            </w:r>
          </w:p>
        </w:tc>
      </w:tr>
      <w:tr>
        <w:tc>
          <w:tcPr>
            <w:tcW w:type="dxa" w:w="2160"/>
          </w:tcPr>
          <w:p>
            <w:r/>
            <w:r>
              <w:rPr>
                <w:sz w:val="18"/>
              </w:rPr>
              <w:t>Statistician engagement</w:t>
            </w:r>
          </w:p>
        </w:tc>
        <w:tc>
          <w:tcPr>
            <w:tcW w:type="dxa" w:w="2160"/>
          </w:tcPr>
          <w:p>
            <w:r/>
            <w:r>
              <w:rPr>
                <w:sz w:val="18"/>
              </w:rPr>
              <w:t>Sleep and Health Clinic App Ltd and an independent statistician (to be confirmed)</w:t>
            </w:r>
          </w:p>
        </w:tc>
        <w:tc>
          <w:tcPr>
            <w:tcW w:type="dxa" w:w="2160"/>
          </w:tcPr>
          <w:p>
            <w:r/>
            <w:r>
              <w:rPr>
                <w:sz w:val="18"/>
              </w:rPr>
              <w:t>SAP and primary analysis; analysis outputs owned by the sponsor</w:t>
            </w:r>
          </w:p>
        </w:tc>
        <w:tc>
          <w:tcPr>
            <w:tcW w:type="dxa" w:w="2160"/>
          </w:tcPr>
          <w:p>
            <w:r/>
            <w:r>
              <w:rPr>
                <w:sz w:val="18"/>
              </w:rPr>
              <w:t>To be confirmed. Not appointed.</w:t>
            </w:r>
          </w:p>
        </w:tc>
      </w:tr>
      <w:tr>
        <w:tc>
          <w:tcPr>
            <w:tcW w:type="dxa" w:w="2160"/>
          </w:tcPr>
          <w:p>
            <w:r/>
            <w:r>
              <w:rPr>
                <w:sz w:val="18"/>
              </w:rPr>
              <w:t>Clinical study insurance</w:t>
            </w:r>
          </w:p>
        </w:tc>
        <w:tc>
          <w:tcPr>
            <w:tcW w:type="dxa" w:w="2160"/>
          </w:tcPr>
          <w:p>
            <w:r/>
            <w:r>
              <w:rPr>
                <w:sz w:val="18"/>
              </w:rPr>
              <w:t>Sleep and Health Clinic App Ltd and insurer (to be confirmed)</w:t>
            </w:r>
          </w:p>
        </w:tc>
        <w:tc>
          <w:tcPr>
            <w:tcW w:type="dxa" w:w="2160"/>
          </w:tcPr>
          <w:p>
            <w:r/>
            <w:r>
              <w:rPr>
                <w:sz w:val="18"/>
              </w:rPr>
              <w:t>Sponsor legal liability, no-fault compensation for participants and indemnity for the Partner site</w:t>
            </w:r>
          </w:p>
        </w:tc>
        <w:tc>
          <w:tcPr>
            <w:tcW w:type="dxa" w:w="2160"/>
          </w:tcPr>
          <w:p>
            <w:r/>
            <w:r>
              <w:rPr>
                <w:sz w:val="18"/>
              </w:rPr>
              <w:t>Quotation not yet obtained. The quotation must include no-fault compensation.</w:t>
            </w:r>
          </w:p>
        </w:tc>
      </w:tr>
    </w:tbl>
    <w:p/>
    <w:p>
      <w:r>
        <w:t>No site opens, and no participant is enrolled, until the site/services agreement is signed and the documents in Appendices K and O required before enrolment are filed.</w:t>
      </w:r>
    </w:p>
    <w:p>
      <w:pPr>
        <w:pStyle w:val="Heading2"/>
      </w:pPr>
      <w:r>
        <w:t>Related party: Sleep and Health Clinic Ltd</w:t>
      </w:r>
    </w:p>
    <w:p>
      <w:r>
        <w:t>Sleep and Health Clinic Ltd (08904119) gives clinical advice to the sponsor only, under LAZ-AGR-001, which is drafted and is to be signed; it is not yet in force. Dr Sara McNeillis and Mr Terence Hook are directors of both Sleep and Health Clinic App Ltd and Sleep and Health Clinic Ltd. This is a related-party arrangement and is disclosed. Sleep and Health Clinic Ltd is not a sponsor, site, funder, data controller or independent endorser of Lazoo. It does not recruit participants, provide patient lists, or hold or receive identifiable study data. Its CQC registration, clinical indemnity and complaints route do not cover this study.</w:t>
      </w:r>
    </w:p>
    <w:p>
      <w:pPr>
        <w:pStyle w:val="Heading1"/>
      </w:pPr>
      <w:r>
        <w:t>18. Insurance and Indemnity</w:t>
      </w:r>
    </w:p>
    <w:p>
      <w:r>
        <w:t>The sponsor will hold clinical study insurance covering its legal liability and will provide no-fault compensation to participants for injury caused by taking part, in line with the ABHI compensation guidelines. The sponsor will indemnify the partner site in line with the applicable model agreement. A certificate of insurance will be filed before submission.</w:t>
      </w:r>
    </w:p>
    <w:p>
      <w:pPr>
        <w:pStyle w:val="ListBullet"/>
      </w:pPr>
      <w:r>
        <w:t>Status: insurer, policy and limits are to be confirmed. A quotation has not yet been obtained, and it must include no-fault compensation. The certificate is not on file. Do not submit or enrol until it is filed.</w:t>
      </w:r>
    </w:p>
    <w:p>
      <w:pPr>
        <w:pStyle w:val="ListBullet"/>
      </w:pPr>
      <w:r>
        <w:t>Partner site: indemnity for the Partner site’s own staff and activities, and the sponsor’s indemnity to the Partner site, are set out in the site/services agreement. For an NHS organisation, the model-agreement indemnity and compensation terms apply unmodified.</w:t>
      </w:r>
    </w:p>
    <w:p>
      <w:pPr>
        <w:pStyle w:val="ListBullet"/>
      </w:pPr>
      <w:r>
        <w:t>Participant information: the participant information sheet will explain the compensation arrangements in plain language.</w:t>
      </w:r>
    </w:p>
    <w:p>
      <w:pPr>
        <w:pStyle w:val="ListBullet"/>
      </w:pPr>
      <w:r>
        <w:t>Clinical advice: the clinical indemnity of Sleep and Health Clinic Ltd does not cover this research.</w:t>
      </w:r>
    </w:p>
    <w:p>
      <w:pPr>
        <w:pStyle w:val="ListBullet"/>
      </w:pPr>
      <w:r>
        <w:t>Investigators: professional indemnity of individual investigators to be confirmed for each named investigator.</w:t>
      </w:r>
    </w:p>
    <w:p>
      <w:pPr>
        <w:pStyle w:val="Heading1"/>
      </w:pPr>
      <w:r>
        <w:t>19. Patient and Public Involvement</w:t>
      </w:r>
    </w:p>
    <w:p>
      <w:r>
        <w:t>No patient and public involvement activity has been completed for LAZ-VAL-001 as at 11 October 2026.</w:t>
      </w:r>
    </w:p>
    <w:p>
      <w:r>
        <w:t>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p>
      <w:pPr>
        <w:pStyle w:val="Heading1"/>
      </w:pPr>
      <w:r>
        <w:t>20. Quality Assurance and Monitoring</w:t>
      </w:r>
    </w:p>
    <w:p>
      <w:r>
        <w:t>Sponsor oversight is proportionate to risk. A study monitoring plan is to be written from the sponsor template and approved before the Partner site opens. Minimum requirements:</w:t>
      </w:r>
    </w:p>
    <w:p>
      <w:pPr>
        <w:pStyle w:val="ListBullet"/>
      </w:pPr>
      <w:r>
        <w:t>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w:t>
      </w:r>
    </w:p>
    <w:p>
      <w:pPr>
        <w:pStyle w:val="ListBullet"/>
      </w:pPr>
      <w:r>
        <w:t>Investigator site file at the Partner site, opened from the sponsor template, with a site delegation log signed by the Principal Investigator.</w:t>
      </w:r>
    </w:p>
    <w:p>
      <w:pPr>
        <w:pStyle w:val="ListBullet"/>
      </w:pPr>
      <w:r>
        <w:t>Chief Investigator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while n stays at the floor of 30 completers, unless the monitoring plan says otherwise).</w:t>
      </w:r>
    </w:p>
    <w:p>
      <w:pPr>
        <w:pStyle w:val="ListBullet"/>
      </w:pPr>
      <w:r>
        <w:t>Confirmation that Lazoo exports contain raw timestamps and an audit trail for any edited field.</w:t>
      </w:r>
    </w:p>
    <w:p>
      <w:pPr>
        <w:pStyle w:val="ListBullet"/>
      </w:pPr>
      <w:r>
        <w:t>Central monitoring of completeness from the pairing log; on-site or remote monitoring visits to the Partner site as set out in the monitoring plan.</w:t>
      </w:r>
    </w:p>
    <w:p>
      <w:pPr>
        <w:pStyle w:val="ListBullet"/>
      </w:pPr>
      <w:r>
        <w:t>Sponsor right of access to source data, site records and facilities for monitoring and audit, and cooperation with regulatory inspection, to be written into the site/services agreement.</w:t>
      </w:r>
    </w:p>
    <w:p>
      <w:pPr>
        <w:pStyle w:val="ListBullet"/>
      </w:pPr>
      <w:r>
        <w:t>Deviation and serious-breach handling: the Partner site reports deviations to the sponsor; the sponsor assesses and reports serious breaches as required.</w:t>
      </w:r>
    </w:p>
    <w:p>
      <w:pPr>
        <w:pStyle w:val="ListBullet"/>
      </w:pPr>
      <w:r>
        <w:t>No monitoring of diagnostic accuracy.</w:t>
      </w:r>
    </w:p>
    <w:p>
      <w:pPr>
        <w:pStyle w:val="Heading1"/>
      </w:pPr>
      <w:r>
        <w:t>21. Risk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Risk</w:t>
            </w:r>
          </w:p>
        </w:tc>
        <w:tc>
          <w:tcPr>
            <w:tcW w:type="dxa" w:w="4320"/>
          </w:tcPr>
          <w:p>
            <w:r>
              <w:rPr>
                <w:b/>
              </w:rPr>
            </w:r>
            <w:r>
              <w:rPr>
                <w:b/>
                <w:sz w:val="18"/>
              </w:rPr>
              <w:t>Mitigation</w:t>
            </w:r>
          </w:p>
        </w:tc>
      </w:tr>
      <w:tr>
        <w:tc>
          <w:tcPr>
            <w:tcW w:type="dxa" w:w="4320"/>
          </w:tcPr>
          <w:p>
            <w:r/>
            <w:r>
              <w:rPr>
                <w:sz w:val="18"/>
              </w:rPr>
              <w:t>Burden of two morning diaries</w:t>
            </w:r>
          </w:p>
        </w:tc>
        <w:tc>
          <w:tcPr>
            <w:tcW w:type="dxa" w:w="4320"/>
          </w:tcPr>
          <w:p>
            <w:r/>
            <w:r>
              <w:rPr>
                <w:sz w:val="18"/>
              </w:rPr>
              <w:t>14 mornings only; training; missed-morning rules; right to withdraw</w:t>
            </w:r>
          </w:p>
        </w:tc>
      </w:tr>
      <w:tr>
        <w:tc>
          <w:tcPr>
            <w:tcW w:type="dxa" w:w="4320"/>
          </w:tcPr>
          <w:p>
            <w:r/>
            <w:r>
              <w:rPr>
                <w:sz w:val="18"/>
              </w:rPr>
              <w:t>Distress when reflecting on sleep</w:t>
            </w:r>
          </w:p>
        </w:tc>
        <w:tc>
          <w:tcPr>
            <w:tcW w:type="dxa" w:w="4320"/>
          </w:tcPr>
          <w:p>
            <w:r/>
            <w:r>
              <w:rPr>
                <w:sz w:val="18"/>
              </w:rPr>
              <w:t>Signpost GP, NHS 111 or Samaritans; investigator may stop dual diaries</w:t>
            </w:r>
          </w:p>
        </w:tc>
      </w:tr>
      <w:tr>
        <w:tc>
          <w:tcPr>
            <w:tcW w:type="dxa" w:w="4320"/>
          </w:tcPr>
          <w:p>
            <w:r/>
            <w:r>
              <w:rPr>
                <w:sz w:val="18"/>
              </w:rPr>
              <w:t>A diagnostic or therapy claim drawn from this study</w:t>
            </w:r>
          </w:p>
        </w:tc>
        <w:tc>
          <w:tcPr>
            <w:tcW w:type="dxa" w:w="4320"/>
          </w:tcPr>
          <w:p>
            <w:r/>
            <w:r>
              <w:rPr>
                <w:sz w:val="18"/>
              </w:rPr>
              <w:t>No such claim; study objectives and publication plan exclude it; sponsor review of outputs for intended-purpose wording</w:t>
            </w:r>
          </w:p>
        </w:tc>
      </w:tr>
      <w:tr>
        <w:tc>
          <w:tcPr>
            <w:tcW w:type="dxa" w:w="4320"/>
          </w:tcPr>
          <w:p>
            <w:r/>
            <w:r>
              <w:rPr>
                <w:sz w:val="18"/>
              </w:rPr>
              <w:t>Comparator copyright breach</w:t>
            </w:r>
          </w:p>
        </w:tc>
        <w:tc>
          <w:tcPr>
            <w:tcW w:type="dxa" w:w="4320"/>
          </w:tcPr>
          <w:p>
            <w:r/>
            <w:r>
              <w:rPr>
                <w:sz w:val="18"/>
              </w:rPr>
              <w:t>No verbatim CSD-M stems or PDF in the trial master file or app until the Carney industry licence is filed</w:t>
            </w:r>
          </w:p>
        </w:tc>
      </w:tr>
      <w:tr>
        <w:tc>
          <w:tcPr>
            <w:tcW w:type="dxa" w:w="4320"/>
          </w:tcPr>
          <w:p>
            <w:r/>
            <w:r>
              <w:rPr>
                <w:sz w:val="18"/>
              </w:rPr>
              <w:t>Wrong sponsor, or merging of another organisation’s study documents</w:t>
            </w:r>
          </w:p>
        </w:tc>
        <w:tc>
          <w:tcPr>
            <w:tcW w:type="dxa" w:w="4320"/>
          </w:tcPr>
          <w:p>
            <w:r/>
            <w:r>
              <w:rPr>
                <w:sz w:val="18"/>
              </w:rPr>
              <w:t>App Ltd (12467350) as sole sponsor; other studies kept in separate files</w:t>
            </w:r>
          </w:p>
        </w:tc>
      </w:tr>
      <w:tr>
        <w:tc>
          <w:tcPr>
            <w:tcW w:type="dxa" w:w="4320"/>
          </w:tcPr>
          <w:p>
            <w:r/>
            <w:r>
              <w:rPr>
                <w:sz w:val="18"/>
              </w:rPr>
              <w:t>Partner site claims intellectual property or data</w:t>
            </w:r>
          </w:p>
        </w:tc>
        <w:tc>
          <w:tcPr>
            <w:tcW w:type="dxa" w:w="4320"/>
          </w:tcPr>
          <w:p>
            <w:r/>
            <w:r>
              <w:rPr>
                <w:sz w:val="18"/>
              </w:rPr>
              <w:t>Site/services agreement records sponsor ownership of all intellectual property, data and results before the site opens</w:t>
            </w:r>
          </w:p>
        </w:tc>
      </w:tr>
      <w:tr>
        <w:tc>
          <w:tcPr>
            <w:tcW w:type="dxa" w:w="4320"/>
          </w:tcPr>
          <w:p>
            <w:r/>
            <w:r>
              <w:rPr>
                <w:sz w:val="18"/>
              </w:rPr>
              <w:t>Partner site opened before contract or approvals</w:t>
            </w:r>
          </w:p>
        </w:tc>
        <w:tc>
          <w:tcPr>
            <w:tcW w:type="dxa" w:w="4320"/>
          </w:tcPr>
          <w:p>
            <w:r/>
            <w:r>
              <w:rPr>
                <w:sz w:val="18"/>
              </w:rPr>
              <w:t>No site code, investigator site file or study access until the agreement is signed and approvals are filed</w:t>
            </w:r>
          </w:p>
        </w:tc>
      </w:tr>
      <w:tr>
        <w:tc>
          <w:tcPr>
            <w:tcW w:type="dxa" w:w="4320"/>
          </w:tcPr>
          <w:p>
            <w:r/>
            <w:r>
              <w:rPr>
                <w:sz w:val="18"/>
              </w:rPr>
              <w:t>Undisclosed related-party interest</w:t>
            </w:r>
          </w:p>
        </w:tc>
        <w:tc>
          <w:tcPr>
            <w:tcW w:type="dxa" w:w="4320"/>
          </w:tcPr>
          <w:p>
            <w:r/>
            <w:r>
              <w:rPr>
                <w:sz w:val="18"/>
              </w:rPr>
              <w:t>Shared directors disclosed in this protocol, the ethics submission and the participant information sheet; LAZ-AGR-001 to be signed</w:t>
            </w:r>
          </w:p>
        </w:tc>
      </w:tr>
      <w:tr>
        <w:tc>
          <w:tcPr>
            <w:tcW w:type="dxa" w:w="4320"/>
          </w:tcPr>
          <w:p>
            <w:r/>
            <w:r>
              <w:rPr>
                <w:sz w:val="18"/>
              </w:rPr>
              <w:t>Recruitment from patient lists</w:t>
            </w:r>
          </w:p>
        </w:tc>
        <w:tc>
          <w:tcPr>
            <w:tcW w:type="dxa" w:w="4320"/>
          </w:tcPr>
          <w:p>
            <w:r/>
            <w:r>
              <w:rPr>
                <w:sz w:val="18"/>
              </w:rPr>
              <w:t>Not permitted from NHS, hospital or Sleep and Health Clinic Ltd lists; exclusion criterion 6</w:t>
            </w:r>
          </w:p>
        </w:tc>
      </w:tr>
      <w:tr>
        <w:tc>
          <w:tcPr>
            <w:tcW w:type="dxa" w:w="4320"/>
          </w:tcPr>
          <w:p>
            <w:r/>
            <w:r>
              <w:rPr>
                <w:sz w:val="18"/>
              </w:rPr>
              <w:t>Study data used for model training</w:t>
            </w:r>
          </w:p>
        </w:tc>
        <w:tc>
          <w:tcPr>
            <w:tcW w:type="dxa" w:w="4320"/>
          </w:tcPr>
          <w:p>
            <w:r/>
            <w:r>
              <w:rPr>
                <w:sz w:val="18"/>
              </w:rPr>
              <w:t>Toggle 4 off</w:t>
            </w:r>
          </w:p>
        </w:tc>
      </w:tr>
      <w:tr>
        <w:tc>
          <w:tcPr>
            <w:tcW w:type="dxa" w:w="4320"/>
          </w:tcPr>
          <w:p>
            <w:r/>
            <w:r>
              <w:rPr>
                <w:sz w:val="18"/>
              </w:rPr>
              <w:t>Identifiable data in open email</w:t>
            </w:r>
          </w:p>
        </w:tc>
        <w:tc>
          <w:tcPr>
            <w:tcW w:type="dxa" w:w="4320"/>
          </w:tcPr>
          <w:p>
            <w:r/>
            <w:r>
              <w:rPr>
                <w:sz w:val="18"/>
              </w:rPr>
              <w:t>Forbidden; DMP storage rules</w:t>
            </w:r>
          </w:p>
        </w:tc>
      </w:tr>
      <w:tr>
        <w:tc>
          <w:tcPr>
            <w:tcW w:type="dxa" w:w="4320"/>
          </w:tcPr>
          <w:p>
            <w:r/>
            <w:r>
              <w:rPr>
                <w:sz w:val="18"/>
              </w:rPr>
              <w:t>Identifiable free text or study data leaving the sponsor</w:t>
            </w:r>
          </w:p>
        </w:tc>
        <w:tc>
          <w:tcPr>
            <w:tcW w:type="dxa" w:w="4320"/>
          </w:tcPr>
          <w:p>
            <w:r/>
            <w:r>
              <w:rPr>
                <w:sz w:val="18"/>
              </w:rPr>
              <w:t>No identifiable free text leaves the sponsor; any outbound share needs a current data note approved before transfer</w:t>
            </w:r>
          </w:p>
        </w:tc>
      </w:tr>
      <w:tr>
        <w:tc>
          <w:tcPr>
            <w:tcW w:type="dxa" w:w="4320"/>
          </w:tcPr>
          <w:p>
            <w:r/>
            <w:r>
              <w:rPr>
                <w:sz w:val="18"/>
              </w:rPr>
              <w:t>Enrolment without insurance (including no-fault compensation) or ethics approval</w:t>
            </w:r>
          </w:p>
        </w:tc>
        <w:tc>
          <w:tcPr>
            <w:tcW w:type="dxa" w:w="4320"/>
          </w:tcPr>
          <w:p>
            <w:r/>
            <w:r>
              <w:rPr>
                <w:sz w:val="18"/>
              </w:rPr>
              <w:t>Hard stop: both to be confirmed</w:t>
            </w:r>
          </w:p>
        </w:tc>
      </w:tr>
      <w:tr>
        <w:tc>
          <w:tcPr>
            <w:tcW w:type="dxa" w:w="4320"/>
          </w:tcPr>
          <w:p>
            <w:r/>
            <w:r>
              <w:rPr>
                <w:sz w:val="18"/>
              </w:rPr>
              <w:t>Unlisted-app credentials reaching a public store</w:t>
            </w:r>
          </w:p>
        </w:tc>
        <w:tc>
          <w:tcPr>
            <w:tcW w:type="dxa" w:w="4320"/>
          </w:tcPr>
          <w:p>
            <w:r/>
            <w:r>
              <w:rPr>
                <w:sz w:val="18"/>
              </w:rPr>
              <w:t>Study codes; Unlisted or closed testing only</w:t>
            </w:r>
          </w:p>
        </w:tc>
      </w:tr>
    </w:tbl>
    <w:p/>
    <w:p>
      <w:r>
        <w:t>This table is not an ISO 14971 risk management file, a design history file, an AI validation report or a clinical evaluation report.</w:t>
      </w:r>
    </w:p>
    <w:p>
      <w:pPr>
        <w:pStyle w:val="Heading1"/>
      </w:pPr>
      <w:r>
        <w:t>22. Information Governance and UK GDPR</w:t>
      </w:r>
    </w:p>
    <w:p>
      <w:r>
        <w:t>The sponsor is the controller for all study data. The partner site processes study data only on the sponsor’s documented instructions under an Article 28 agreement. It is a controller only for its own clinical or corporate records. No identifiable free text leaves Sleep and Health Clinic App Ltd. Any transfer of study data from the sponsor to another party requires a current data note approved by the sponsor before transfer.</w:t>
      </w:r>
    </w:p>
    <w:p>
      <w:r>
        <w:t>Controller: Sleep and Health Clinic App Ltd (12467350). Other processors (app hosting, recruitment platform, transcription) are listed in the DMP when vendors are contracted. Sleep and Health Clinic Ltd has no data-protection role in this study.</w:t>
      </w:r>
    </w:p>
    <w:p>
      <w:r>
        <w:t>Lawful basis (research), proposed: UK GDPR Article 6(1)(f) legitimate interests, with Article 9(2)(j) and Data Protection Act 2018, Schedule 1, paragraph 4 (research) for special-category health data. This follows Health Research Authority guidance that a commercial sponsor should not rely on consent as the lawful basis for research processing. Consent to take part, including consent toggle 3, remains the ethical and common-law safeguard. Sleep diary content may be special-category health data.</w:t>
      </w:r>
    </w:p>
    <w:p>
      <w:r>
        <w:t>To be confirmed: the data protection officer is to be named and is to confirm the lawful basis. The DPIA, which currently uses consent, and the participant information sheet are to be updated to match. Both remain pending until then. Do not export identifiable research data until the DPIA is signed.</w:t>
      </w:r>
    </w:p>
    <w:p>
      <w:r>
        <w:t>Rights: access, rectification, and withdrawal of toggle 3 (this stops future research use; data already in a locked analysis set may not be withdrawn, and the participant information sheet must say so). Retention as in the DMP (default 10 years after the signed study report).</w:t>
      </w:r>
    </w:p>
    <w:p>
      <w:r>
        <w:t>Transfers: no transfer outside the UK without a documented mechanism. Default storage: UK.</w:t>
      </w:r>
    </w:p>
    <w:p>
      <w:r>
        <w:t>NHS-identifiable patient records are not collected.</w:t>
      </w:r>
    </w:p>
    <w:p>
      <w:pPr>
        <w:pStyle w:val="Heading1"/>
      </w:pPr>
      <w:r>
        <w:t>23. Intellectual Property and Data Ownership</w:t>
      </w:r>
    </w:p>
    <w:p>
      <w:r>
        <w:t>Sleep and Health Clinic App Ltd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r>
        <w:t>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w:t>
      </w:r>
    </w:p>
    <w:p>
      <w:r>
        <w:t>The partner site keeps its pre-existing intellectual property. Where the applicable model agreement requires it, the site also keeps improvements to its own clinical procedures and the right to use general know-how, without disclosing the sponsor’s confidential information. Partner rights are set out in the site agreement. If that agreement conflicts with this section, the agreement prevails.</w:t>
      </w:r>
    </w:p>
    <w:p>
      <w:r>
        <w:t>Sleep and Health Clinic Ltd acquires no intellectual property, data or results through its advisory role.</w:t>
      </w:r>
    </w:p>
    <w:p>
      <w:r>
        <w:t>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r>
        <w:t>CSD-M remains the copyright of Dr Colleen Carney and co-authors. A licence is a permission to use, not ownership.</w:t>
      </w:r>
    </w:p>
    <w:p>
      <w:r>
        <w:t>No store listing, clinician material or publication may present a diagnostic or therapy claim based on this study.</w:t>
      </w:r>
    </w:p>
    <w:p>
      <w:pPr>
        <w:pStyle w:val="Heading1"/>
      </w:pPr>
      <w:r>
        <w:t>24. Dissemination and Publication</w:t>
      </w:r>
    </w:p>
    <w:p>
      <w:r>
        <w:t>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Participants will be offered a summary of the results. Sponsor review of draft publications is limited to accuracy, confidential information and patent protection, and will not be used to suppress or delay results beyond the agreed period.</w:t>
      </w:r>
    </w:p>
    <w:p>
      <w:r>
        <w:t>The results will include completer rates, Bland–Altman plots for calculated TST, and SUS scores. The paper will not be titled or framed as a diagnostic-accuracy study. British spelling is used.</w:t>
      </w:r>
    </w:p>
    <w:p>
      <w:r>
        <w:t>Publication rights: investigators, including Partner site staff, may publish or present study results subject to prior sponsor review. Each draft manuscript, abstract or presentation is sent to the sponsor before submission. The sponsor will not prevent or unreasonably delay publication of results, whatever they show.</w:t>
      </w:r>
    </w:p>
    <w:p>
      <w:r>
        <w:t>Review and patent-delay periods:</w:t>
      </w:r>
    </w:p>
    <w:p>
      <w:pPr>
        <w:pStyle w:val="ListBullet"/>
      </w:pPr>
      <w:r>
        <w:t>NHS partner site: the current HRA model Clinical Investigation Agreement (version 6.0, August 2026, clause 10) applies unmodified (source copies filed with the sponsor documents; see Appendix O and references 13 and 14). The site submits material to the sponsor for review at least 40 working days before submission for publication, or longer if this protocol specifies. During that review the sponsor may make a reasoned request to delay publication by up to 180 calendar days from first submission to the sponsor, to protect proprietary information or intellectual property.</w:t>
      </w:r>
    </w:p>
    <w:p>
      <w:pPr>
        <w:pStyle w:val="ListBullet"/>
      </w:pPr>
      <w:r>
        <w:t>University partner site: the review period and any patent delay are agreed in the site/services agreement and recorded there.</w:t>
      </w:r>
    </w:p>
    <w:p>
      <w:r>
        <w:t>Additional reporting:</w:t>
      </w:r>
    </w:p>
    <w:p>
      <w:pPr>
        <w:pStyle w:val="ListBullet"/>
      </w:pPr>
      <w:r>
        <w:t>The participant information sheet will say how and when participants are offered the summary of results.</w:t>
      </w:r>
    </w:p>
    <w:p>
      <w:pPr>
        <w:pStyle w:val="ListBullet"/>
      </w:pPr>
      <w:r>
        <w:t>If the determination under Ethics and Regulatory Considerations is that this is a clinical investigation, the end of the investigation is notified to the MHRA and the final report is provided within one year.</w:t>
      </w:r>
    </w:p>
    <w:p>
      <w:pPr>
        <w:pStyle w:val="ListBullet"/>
      </w:pPr>
      <w:r>
        <w:t>If NIHR funds the study, NIHR’s open-access and acknowledgement terms apply in addition to this section.</w:t>
      </w:r>
    </w:p>
    <w:p>
      <w:r>
        <w:t>Authorship follows ICMJE criteria. The Chief Investigator is last or corresponding author as agreed. Related-party interests and sponsor funding are declared in every publication.</w:t>
      </w:r>
    </w:p>
    <w:p>
      <w:r>
        <w:t>Lay summary: this study compared app records with a standard paper morning diary. Results will be shared with participants in plain language within 12 months of the end of the study.</w:t>
      </w:r>
    </w:p>
    <w:p>
      <w:pPr>
        <w:pStyle w:val="Heading1"/>
      </w:pPr>
      <w:r>
        <w:t>25. Study Management, Roles and Delegation</w:t>
      </w:r>
    </w:p>
    <w:p>
      <w:pPr>
        <w:pStyle w:val="Heading2"/>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Party or role</w:t>
            </w:r>
          </w:p>
        </w:tc>
        <w:tc>
          <w:tcPr>
            <w:tcW w:type="dxa" w:w="4320"/>
          </w:tcPr>
          <w:p>
            <w:r>
              <w:rPr>
                <w:b/>
              </w:rPr>
            </w:r>
            <w:r>
              <w:rPr>
                <w:b/>
                <w:sz w:val="18"/>
              </w:rPr>
              <w:t>Responsibilities</w:t>
            </w:r>
          </w:p>
        </w:tc>
      </w:tr>
      <w:tr>
        <w:tc>
          <w:tcPr>
            <w:tcW w:type="dxa" w:w="4320"/>
          </w:tcPr>
          <w:p>
            <w:r/>
            <w:r>
              <w:rPr>
                <w:sz w:val="18"/>
              </w:rPr>
              <w:t>Sponsor: Sleep and Health Clinic App Ltd (12467350), 32 Watford Road, Northwood HA6 3NT</w:t>
            </w:r>
          </w:p>
        </w:tc>
        <w:tc>
          <w:tcPr>
            <w:tcW w:type="dxa" w:w="4320"/>
          </w:tcPr>
          <w:p>
            <w:r/>
            <w:r>
              <w:rPr>
                <w:sz w:val="18"/>
              </w:rPr>
              <w:t>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tcW w:type="dxa" w:w="4320"/>
          </w:tcPr>
          <w:p>
            <w:r/>
            <w:r>
              <w:rPr>
                <w:sz w:val="18"/>
              </w:rPr>
              <w:t>Sponsor research contact</w:t>
            </w:r>
          </w:p>
        </w:tc>
        <w:tc>
          <w:tcPr>
            <w:tcW w:type="dxa" w:w="4320"/>
          </w:tcPr>
          <w:p>
            <w:r/>
            <w:r>
              <w:rPr>
                <w:sz w:val="18"/>
              </w:rPr>
              <w:t>admin@sleepandhealth.org</w:t>
            </w:r>
          </w:p>
        </w:tc>
      </w:tr>
      <w:tr>
        <w:tc>
          <w:tcPr>
            <w:tcW w:type="dxa" w:w="4320"/>
          </w:tcPr>
          <w:p>
            <w:r/>
            <w:r>
              <w:rPr>
                <w:sz w:val="18"/>
              </w:rPr>
              <w:t>Chief Investigator (proposed): Dr Sara McNeillis, GMC 4118686</w:t>
            </w:r>
          </w:p>
        </w:tc>
        <w:tc>
          <w:tcPr>
            <w:tcW w:type="dxa" w:w="4320"/>
          </w:tcPr>
          <w:p>
            <w:r/>
            <w:r>
              <w:rPr>
                <w:sz w:val="18"/>
              </w:rPr>
              <w:t>Overall scientific and clinical conduct; protocol; ethics submission; study-wide delegation log; safety oversight</w:t>
            </w:r>
          </w:p>
        </w:tc>
      </w:tr>
      <w:tr>
        <w:tc>
          <w:tcPr>
            <w:tcW w:type="dxa" w:w="4320"/>
          </w:tcPr>
          <w:p>
            <w:r/>
            <w:r>
              <w:rPr>
                <w:sz w:val="18"/>
              </w:rPr>
              <w:t>Partner site (to be confirmed)</w:t>
            </w:r>
          </w:p>
        </w:tc>
        <w:tc>
          <w:tcPr>
            <w:tcW w:type="dxa" w:w="4320"/>
          </w:tcPr>
          <w:p>
            <w:r/>
            <w:r>
              <w:rPr>
                <w:sz w:val="18"/>
              </w:rPr>
              <w:t>Subcontracted site paid by the sponsor. Services as defined in the site/services agreement (proposed: Principal Investigator oversight, screening, consent, study conduct, source data and CRF completion, investigator site file, cooperation with monitoring and audit). No intellectual property claim. Confidentiality. Publication subject to sponsor review.</w:t>
            </w:r>
          </w:p>
        </w:tc>
      </w:tr>
      <w:tr>
        <w:tc>
          <w:tcPr>
            <w:tcW w:type="dxa" w:w="4320"/>
          </w:tcPr>
          <w:p>
            <w:r/>
            <w:r>
              <w:rPr>
                <w:sz w:val="18"/>
              </w:rPr>
              <w:t>Principal Investigator, Partner site</w:t>
            </w:r>
          </w:p>
        </w:tc>
        <w:tc>
          <w:tcPr>
            <w:tcW w:type="dxa" w:w="4320"/>
          </w:tcPr>
          <w:p>
            <w:r/>
            <w:r>
              <w:rPr>
                <w:sz w:val="18"/>
              </w:rPr>
              <w:t>To be confirmed. Site conduct and site delegation log.</w:t>
            </w:r>
          </w:p>
        </w:tc>
      </w:tr>
      <w:tr>
        <w:tc>
          <w:tcPr>
            <w:tcW w:type="dxa" w:w="4320"/>
          </w:tcPr>
          <w:p>
            <w:r/>
            <w:r>
              <w:rPr>
                <w:sz w:val="18"/>
              </w:rPr>
              <w:t>Sleep and Health Clinic Ltd (08904119)</w:t>
            </w:r>
          </w:p>
        </w:tc>
        <w:tc>
          <w:tcPr>
            <w:tcW w:type="dxa" w:w="4320"/>
          </w:tcPr>
          <w:p>
            <w:r/>
            <w:r>
              <w:rPr>
                <w:sz w:val="18"/>
              </w:rPr>
              <w:t>Clinical advice to the sponsor only, under LAZ-AGR-001 (to be signed). Not sponsor, site, funder or data controller. No recruitment and no patient lists.</w:t>
            </w:r>
          </w:p>
        </w:tc>
      </w:tr>
      <w:tr>
        <w:tc>
          <w:tcPr>
            <w:tcW w:type="dxa" w:w="4320"/>
          </w:tcPr>
          <w:p>
            <w:r/>
            <w:r>
              <w:rPr>
                <w:sz w:val="18"/>
              </w:rPr>
              <w:t>Protocol drafting and clinical master file</w:t>
            </w:r>
          </w:p>
        </w:tc>
        <w:tc>
          <w:tcPr>
            <w:tcW w:type="dxa" w:w="4320"/>
          </w:tcPr>
          <w:p>
            <w:r/>
            <w:r>
              <w:rPr>
                <w:sz w:val="18"/>
              </w:rPr>
              <w:t>Clinical research assistant (LAZ-DEL-001)</w:t>
            </w:r>
          </w:p>
        </w:tc>
      </w:tr>
      <w:tr>
        <w:tc>
          <w:tcPr>
            <w:tcW w:type="dxa" w:w="4320"/>
          </w:tcPr>
          <w:p>
            <w:r/>
            <w:r>
              <w:rPr>
                <w:sz w:val="18"/>
              </w:rPr>
              <w:t>Independent statistician</w:t>
            </w:r>
          </w:p>
        </w:tc>
        <w:tc>
          <w:tcPr>
            <w:tcW w:type="dxa" w:w="4320"/>
          </w:tcPr>
          <w:p>
            <w:r/>
            <w:r>
              <w:rPr>
                <w:sz w:val="18"/>
              </w:rPr>
              <w:t>To be confirmed (not appointed). Not employed by or connected to either company. Signs the SAP before data lock and runs the primary analysis.</w:t>
            </w:r>
          </w:p>
        </w:tc>
      </w:tr>
      <w:tr>
        <w:tc>
          <w:tcPr>
            <w:tcW w:type="dxa" w:w="4320"/>
          </w:tcPr>
          <w:p>
            <w:r/>
            <w:r>
              <w:rPr>
                <w:sz w:val="18"/>
              </w:rPr>
              <w:t>Independent member, study oversight group</w:t>
            </w:r>
          </w:p>
        </w:tc>
        <w:tc>
          <w:tcPr>
            <w:tcW w:type="dxa" w:w="4320"/>
          </w:tcPr>
          <w:p>
            <w:r/>
            <w:r>
              <w:rPr>
                <w:sz w:val="18"/>
              </w:rPr>
              <w:t>To be confirmed (not appointed). Reviews conduct and results before release.</w:t>
            </w:r>
          </w:p>
        </w:tc>
      </w:tr>
      <w:tr>
        <w:tc>
          <w:tcPr>
            <w:tcW w:type="dxa" w:w="4320"/>
          </w:tcPr>
          <w:p>
            <w:r/>
            <w:r>
              <w:rPr>
                <w:sz w:val="18"/>
              </w:rPr>
              <w:t>Named archivist</w:t>
            </w:r>
          </w:p>
        </w:tc>
        <w:tc>
          <w:tcPr>
            <w:tcW w:type="dxa" w:w="4320"/>
          </w:tcPr>
          <w:p>
            <w:r/>
            <w:r>
              <w:rPr>
                <w:sz w:val="18"/>
              </w:rPr>
              <w:t>To be confirmed (Chief Investigator until appointed)</w:t>
            </w:r>
          </w:p>
        </w:tc>
      </w:tr>
      <w:tr>
        <w:tc>
          <w:tcPr>
            <w:tcW w:type="dxa" w:w="4320"/>
          </w:tcPr>
          <w:p>
            <w:r/>
            <w:r>
              <w:rPr>
                <w:sz w:val="18"/>
              </w:rPr>
              <w:t>DPO</w:t>
            </w:r>
          </w:p>
        </w:tc>
        <w:tc>
          <w:tcPr>
            <w:tcW w:type="dxa" w:w="4320"/>
          </w:tcPr>
          <w:p>
            <w:r/>
            <w:r>
              <w:rPr>
                <w:sz w:val="18"/>
              </w:rPr>
              <w:t>To be confirmed (not named)</w:t>
            </w:r>
          </w:p>
        </w:tc>
      </w:tr>
    </w:tbl>
    <w:p/>
    <w:p>
      <w:pPr>
        <w:pStyle w:val="Heading2"/>
      </w:pPr>
      <w:r>
        <w:t>Delegation</w:t>
      </w:r>
    </w:p>
    <w:p>
      <w:pPr>
        <w:pStyle w:val="ListBullet"/>
      </w:pPr>
      <w:r>
        <w:t>Sponsor-level duties are recorded in LAZ-DEL-001. A study-specific delegation log is opened in the LAZ-VAL-001 folder before any identifiable data collection.</w:t>
      </w:r>
    </w:p>
    <w:p>
      <w:pPr>
        <w:pStyle w:val="ListBullet"/>
      </w:pPr>
      <w:r>
        <w:t>Sponsor duties delegated to the Partner site are listed in the site/services agreement. The Partner site Principal Investigator keeps a site delegation log; only trained staff on that log perform study tasks.</w:t>
      </w:r>
    </w:p>
    <w:p>
      <w:pPr>
        <w:pStyle w:val="ListBullet"/>
      </w:pPr>
      <w:r>
        <w:t>No sponsor duty is delegated to Sleep and Health Clinic Ltd.</w:t>
      </w:r>
    </w:p>
    <w:p>
      <w:pPr>
        <w:pStyle w:val="ListBullet"/>
      </w:pPr>
      <w:r>
        <w:t>No one collects, exports or analyses identifiable research data until they are on the relevant delegation log, trained, and this protocol is approved.</w:t>
      </w:r>
    </w:p>
    <w:p>
      <w:pPr>
        <w:pStyle w:val="Heading2"/>
      </w:pPr>
      <w:r>
        <w:t>Conflicts of interest</w:t>
      </w:r>
    </w:p>
    <w:p>
      <w:r>
        <w:t>Dr Sara McNeillis and Mr Terence Hook are directors of both Sleep and Health Clinic App Ltd and Sleep and Health Clinic Ltd. This interest is disclosed to the ethics committee, participants and readers. To manage it, the primary analysis is pre-specified and carried out by an independent statistician, and an independent member of the study oversight group reviews the results before release.</w:t>
      </w:r>
    </w:p>
    <w:p>
      <w:r>
        <w:t>The interest is also disclosed in IRAS, on the registry entry and in every publication. Where practical, the sponsor approval signature is given by a person other than the Chief Investigator; if that is not possible, the conflict and its mitigation are recorded. Before LAZ-AGR-001 is signed, a board minute records the related-party interest and the consideration agreed. The independent statistician and the independent oversight member are not yet appointed.</w:t>
      </w:r>
    </w:p>
    <w:p>
      <w:pPr>
        <w:pStyle w:val="Heading2"/>
      </w:pPr>
      <w:r>
        <w:t>Study management group</w:t>
      </w:r>
    </w:p>
    <w:p>
      <w:r>
        <w:t>Chief Investigator, clinical master file manager, Partner site Principal Investigator once appointed, the independent statistician when appointed, and one independent member (study oversight group) when appointed. Meetings are minuted in 06-correspondence.</w:t>
      </w:r>
    </w:p>
    <w:p>
      <w:pPr>
        <w:pStyle w:val="Heading1"/>
      </w:pPr>
      <w:r>
        <w:t>26. Archiving</w:t>
      </w:r>
    </w:p>
    <w:p>
      <w:r>
        <w:t>Essential records are kept for at least 10 years after the signed study report, or longer if an agreement or the ethics committee requires it (SOP-CMF-001). This is not a CTIMP statutory archiving period. There is one product layer and one device file.</w:t>
      </w:r>
    </w:p>
    <w:p>
      <w:r>
        <w:t>The working record is the Lazoo Clinical Master File. A durable copy is kept on sponsor-controlled storage once authorised. Identifiable participant data are not stored in messaging tools.</w:t>
      </w:r>
    </w:p>
    <w:p>
      <w:r>
        <w:t>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p>
      <w:pPr>
        <w:pStyle w:val="Heading1"/>
      </w:pPr>
      <w:r>
        <w:t>27. References</w:t>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Medical Devices Regulations 2002 (SI 2002/618), as amended, regulation 16 (procedures for general medical devices for clinical investigations). https://www.legislation.gov.uk/uksi/2002/618/regulation/16 (accessed 11 October 2026).</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pPr>
        <w:pStyle w:val="ListNumber"/>
      </w:pPr>
      <w:r>
        <w:t>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ListNumber"/>
      </w:pPr>
      <w:r>
        <w:t>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ListNumber"/>
      </w:pPr>
      <w:r>
        <w:t>Health Research Authority. Consent in research (GDPR guidance). https://www.hra.nhs.uk/planning-and-improving-research/policies-standards-legislation/data-protection-and-information-governance/gdpr-guidance/what-law-says/consent-research/</w:t>
      </w:r>
    </w:p>
    <w:p>
      <w:pPr>
        <w:pStyle w:val="ListNumber"/>
      </w:pPr>
      <w:r>
        <w:t>Health Research Authority. Making research results public; Final report frequently asked questions. https://www.hra.nhs.uk/planning-and-improving-research/policies-standards-legislation/research-transparency/making-results-public/</w:t>
      </w:r>
    </w:p>
    <w:p>
      <w:pPr>
        <w:pStyle w:val="ListNumber"/>
      </w:pPr>
      <w:r>
        <w:t>Association of British HealthTech Industries. Clinical Investigation Compensation Guidelines (1995), as referenced in the model Clinical Investigation Agreement.</w:t>
      </w:r>
    </w:p>
    <w:p>
      <w:r>
        <w:t>Related Lazoo Clinical Master File documents: LAZ-IP-001 intended purpose; LAZ-CL-001 classification memo; LAZ-SPN-001 sponsor; LAZ-AGR-001 clinical support agreement (to be signed); LAZ-DEL-001 delegation log; LAZ-VER-001 version log; LAZ-TPL-DICT data dictionary; LAZ-TPL-CONSENT four toggles; LAZ-VAL-001-MAP construct map.</w:t>
      </w:r>
    </w:p>
    <w:p>
      <w:pPr>
        <w:pStyle w:val="Heading1"/>
      </w:pPr>
      <w:r>
        <w:t>28. Appendices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Appendix or related file</w:t>
            </w:r>
          </w:p>
        </w:tc>
        <w:tc>
          <w:tcPr>
            <w:tcW w:type="dxa" w:w="4320"/>
          </w:tcPr>
          <w:p>
            <w:r>
              <w:rPr>
                <w:b/>
              </w:rPr>
            </w:r>
            <w:r>
              <w:rPr>
                <w:b/>
                <w:sz w:val="18"/>
              </w:rPr>
              <w:t>Status at 11 October 2026</w:t>
            </w:r>
          </w:p>
        </w:tc>
      </w:tr>
      <w:tr>
        <w:tc>
          <w:tcPr>
            <w:tcW w:type="dxa" w:w="4320"/>
          </w:tcPr>
          <w:p>
            <w:r/>
            <w:r>
              <w:rPr>
                <w:sz w:val="18"/>
              </w:rPr>
              <w:t>A. Construct map CSD-M to Lazoo (LAZ-VAL-001-MAP)</w:t>
            </w:r>
          </w:p>
        </w:tc>
        <w:tc>
          <w:tcPr>
            <w:tcW w:type="dxa" w:w="4320"/>
          </w:tcPr>
          <w:p>
            <w:r/>
            <w:r>
              <w:rPr>
                <w:sz w:val="18"/>
              </w:rPr>
              <w:t>Filed as 02-csd-m-field-mapping.md; reproduced in Study Assessments</w:t>
            </w:r>
          </w:p>
        </w:tc>
      </w:tr>
      <w:tr>
        <w:tc>
          <w:tcPr>
            <w:tcW w:type="dxa" w:w="4320"/>
          </w:tcPr>
          <w:p>
            <w:r/>
            <w:r>
              <w:rPr>
                <w:sz w:val="18"/>
              </w:rPr>
              <w:t>B. CRF version 0.2</w:t>
            </w:r>
          </w:p>
        </w:tc>
        <w:tc>
          <w:tcPr>
            <w:tcW w:type="dxa" w:w="4320"/>
          </w:tcPr>
          <w:p>
            <w:r/>
            <w:r>
              <w:rPr>
                <w:sz w:val="18"/>
              </w:rPr>
              <w:t>Filed. Site code aligned on 11 October 2026: default volunteer code, or partner site (to be confirmed).</w:t>
            </w:r>
          </w:p>
        </w:tc>
      </w:tr>
      <w:tr>
        <w:tc>
          <w:tcPr>
            <w:tcW w:type="dxa" w:w="4320"/>
          </w:tcPr>
          <w:p>
            <w:r/>
            <w:r>
              <w:rPr>
                <w:sz w:val="18"/>
              </w:rPr>
              <w:t>C. Data management plan version 0.3 (LAZ-VAL-001-DMP-v0.3, 11 October 2026)</w:t>
            </w:r>
          </w:p>
        </w:tc>
        <w:tc>
          <w:tcPr>
            <w:tcW w:type="dxa" w:w="4320"/>
          </w:tcPr>
          <w:p>
            <w:r/>
            <w:r>
              <w:rPr>
                <w:sz w:val="18"/>
              </w:rPr>
              <w:t>Filed as a draft. Covers the partner site as processor, Prolific as the default recruitment route, the free-text rule, the data-note rule and the recruitment exclusion wording. Version 0.2 superseded.</w:t>
            </w:r>
          </w:p>
        </w:tc>
      </w:tr>
      <w:tr>
        <w:tc>
          <w:tcPr>
            <w:tcW w:type="dxa" w:w="4320"/>
          </w:tcPr>
          <w:p>
            <w:r/>
            <w:r>
              <w:rPr>
                <w:sz w:val="18"/>
              </w:rPr>
              <w:t>D. Participant information sheet and consent (sponsor letterhead, four toggles, conflicts of interest declared, compensation arrangements, results summary)</w:t>
            </w:r>
          </w:p>
        </w:tc>
        <w:tc>
          <w:tcPr>
            <w:tcW w:type="dxa" w:w="4320"/>
          </w:tcPr>
          <w:p>
            <w:r/>
            <w:r>
              <w:rPr>
                <w:sz w:val="18"/>
              </w:rPr>
              <w:t>Pending. To be written from the template once the data protection officer has confirmed the lawful basis</w:t>
            </w:r>
          </w:p>
        </w:tc>
      </w:tr>
      <w:tr>
        <w:tc>
          <w:tcPr>
            <w:tcW w:type="dxa" w:w="4320"/>
          </w:tcPr>
          <w:p>
            <w:r/>
            <w:r>
              <w:rPr>
                <w:sz w:val="18"/>
              </w:rPr>
              <w:t>E. Licensed CSD-M PDF or verbatim stems</w:t>
            </w:r>
          </w:p>
        </w:tc>
        <w:tc>
          <w:tcPr>
            <w:tcW w:type="dxa" w:w="4320"/>
          </w:tcPr>
          <w:p>
            <w:r/>
            <w:r>
              <w:rPr>
                <w:sz w:val="18"/>
              </w:rPr>
              <w:t>Not to be filed until the Carney industry licence is on file</w:t>
            </w:r>
          </w:p>
        </w:tc>
      </w:tr>
      <w:tr>
        <w:tc>
          <w:tcPr>
            <w:tcW w:type="dxa" w:w="4320"/>
          </w:tcPr>
          <w:p>
            <w:r/>
            <w:r>
              <w:rPr>
                <w:sz w:val="18"/>
              </w:rPr>
              <w:t>F. Clinical study insurance certificate, including no-fault compensation</w:t>
            </w:r>
          </w:p>
        </w:tc>
        <w:tc>
          <w:tcPr>
            <w:tcW w:type="dxa" w:w="4320"/>
          </w:tcPr>
          <w:p>
            <w:r/>
            <w:r>
              <w:rPr>
                <w:sz w:val="18"/>
              </w:rPr>
              <w:t>To be confirmed. Quotation not yet obtained</w:t>
            </w:r>
          </w:p>
        </w:tc>
      </w:tr>
      <w:tr>
        <w:tc>
          <w:tcPr>
            <w:tcW w:type="dxa" w:w="4320"/>
          </w:tcPr>
          <w:p>
            <w:r/>
            <w:r>
              <w:rPr>
                <w:sz w:val="18"/>
              </w:rPr>
              <w:t>G. Ethics favourable opinion, IRAS form and HRA Approval (if applicable)</w:t>
            </w:r>
          </w:p>
        </w:tc>
        <w:tc>
          <w:tcPr>
            <w:tcW w:type="dxa" w:w="4320"/>
          </w:tcPr>
          <w:p>
            <w:r/>
            <w:r>
              <w:rPr>
                <w:sz w:val="18"/>
              </w:rPr>
              <w:t>Not submitted</w:t>
            </w:r>
          </w:p>
        </w:tc>
      </w:tr>
      <w:tr>
        <w:tc>
          <w:tcPr>
            <w:tcW w:type="dxa" w:w="4320"/>
          </w:tcPr>
          <w:p>
            <w:r/>
            <w:r>
              <w:rPr>
                <w:sz w:val="18"/>
              </w:rPr>
              <w:t>H. Signed SAP</w:t>
            </w:r>
          </w:p>
        </w:tc>
        <w:tc>
          <w:tcPr>
            <w:tcW w:type="dxa" w:w="4320"/>
          </w:tcPr>
          <w:p>
            <w:r/>
            <w:r>
              <w:rPr>
                <w:sz w:val="18"/>
              </w:rPr>
              <w:t>To be confirmed (statistician not appointed)</w:t>
            </w:r>
          </w:p>
        </w:tc>
      </w:tr>
      <w:tr>
        <w:tc>
          <w:tcPr>
            <w:tcW w:type="dxa" w:w="4320"/>
          </w:tcPr>
          <w:p>
            <w:r/>
            <w:r>
              <w:rPr>
                <w:sz w:val="18"/>
              </w:rPr>
              <w:t>I. DPIA</w:t>
            </w:r>
          </w:p>
        </w:tc>
        <w:tc>
          <w:tcPr>
            <w:tcW w:type="dxa" w:w="4320"/>
          </w:tcPr>
          <w:p>
            <w:r/>
            <w:r>
              <w:rPr>
                <w:sz w:val="18"/>
              </w:rPr>
              <w:t>Pending. Short form only; uses consent and must be updated to the proposed lawful basis once the data protection officer confirms it</w:t>
            </w:r>
          </w:p>
        </w:tc>
      </w:tr>
      <w:tr>
        <w:tc>
          <w:tcPr>
            <w:tcW w:type="dxa" w:w="4320"/>
          </w:tcPr>
          <w:p>
            <w:r/>
            <w:r>
              <w:rPr>
                <w:sz w:val="18"/>
              </w:rPr>
              <w:t>J. App version pin and validation records for the intended purpose</w:t>
            </w:r>
          </w:p>
        </w:tc>
        <w:tc>
          <w:tcPr>
            <w:tcW w:type="dxa" w:w="4320"/>
          </w:tcPr>
          <w:p>
            <w:r/>
            <w:r>
              <w:rPr>
                <w:sz w:val="18"/>
              </w:rPr>
              <w:t>Research-ready pin outstanding</w:t>
            </w:r>
          </w:p>
        </w:tc>
      </w:tr>
      <w:tr>
        <w:tc>
          <w:tcPr>
            <w:tcW w:type="dxa" w:w="4320"/>
          </w:tcPr>
          <w:p>
            <w:r/>
            <w:r>
              <w:rPr>
                <w:sz w:val="18"/>
              </w:rPr>
              <w:t>K. Partner site file: signed site/services agreement, Principal Investigator CV and GCP evidence, site delegation log, site initiation record</w:t>
            </w:r>
          </w:p>
        </w:tc>
        <w:tc>
          <w:tcPr>
            <w:tcW w:type="dxa" w:w="4320"/>
          </w:tcPr>
          <w:p>
            <w:r/>
            <w:r>
              <w:rPr>
                <w:sz w:val="18"/>
              </w:rPr>
              <w:t>Partner site to be confirmed. Agreement not drafted.</w:t>
            </w:r>
          </w:p>
        </w:tc>
      </w:tr>
      <w:tr>
        <w:tc>
          <w:tcPr>
            <w:tcW w:type="dxa" w:w="4320"/>
          </w:tcPr>
          <w:p>
            <w:r/>
            <w:r>
              <w:rPr>
                <w:sz w:val="18"/>
              </w:rPr>
              <w:t>L. LAZ-AGR-001 clinical support agreement</w:t>
            </w:r>
          </w:p>
        </w:tc>
        <w:tc>
          <w:tcPr>
            <w:tcW w:type="dxa" w:w="4320"/>
          </w:tcPr>
          <w:p>
            <w:r/>
            <w:r>
              <w:rPr>
                <w:sz w:val="18"/>
              </w:rPr>
              <w:t>Drafted version 0.1; to be signed</w:t>
            </w:r>
          </w:p>
        </w:tc>
      </w:tr>
      <w:tr>
        <w:tc>
          <w:tcPr>
            <w:tcW w:type="dxa" w:w="4320"/>
          </w:tcPr>
          <w:p>
            <w:r/>
            <w:r>
              <w:rPr>
                <w:sz w:val="18"/>
              </w:rPr>
              <w:t>M. Monitoring plan</w:t>
            </w:r>
          </w:p>
        </w:tc>
        <w:tc>
          <w:tcPr>
            <w:tcW w:type="dxa" w:w="4320"/>
          </w:tcPr>
          <w:p>
            <w:r/>
            <w:r>
              <w:rPr>
                <w:sz w:val="18"/>
              </w:rPr>
              <w:t>To be written from the sponsor template</w:t>
            </w:r>
          </w:p>
        </w:tc>
      </w:tr>
      <w:tr>
        <w:tc>
          <w:tcPr>
            <w:tcW w:type="dxa" w:w="4320"/>
          </w:tcPr>
          <w:p>
            <w:r/>
            <w:r>
              <w:rPr>
                <w:sz w:val="18"/>
              </w:rPr>
              <w:t>N. AI validation report, clinical evaluation report, device technical file</w:t>
            </w:r>
          </w:p>
        </w:tc>
        <w:tc>
          <w:tcPr>
            <w:tcW w:type="dxa" w:w="4320"/>
          </w:tcPr>
          <w:p>
            <w:r/>
            <w:r>
              <w:rPr>
                <w:sz w:val="18"/>
              </w:rPr>
              <w:t>Outside this protocol</w:t>
            </w:r>
          </w:p>
        </w:tc>
      </w:tr>
      <w:tr>
        <w:tc>
          <w:tcPr>
            <w:tcW w:type="dxa" w:w="4320"/>
          </w:tcPr>
          <w:p>
            <w:r/>
            <w:r>
              <w:rPr>
                <w:sz w:val="18"/>
              </w:rPr>
              <w:t>O. Sponsor documents</w:t>
            </w:r>
          </w:p>
        </w:tc>
        <w:tc>
          <w:tcPr>
            <w:tcW w:type="dxa" w:w="4320"/>
          </w:tcPr>
          <w:p>
            <w:r/>
            <w:r>
              <w:rPr>
                <w:sz w:val="18"/>
              </w:rPr>
              <w:t>Listed below</w:t>
            </w:r>
          </w:p>
        </w:tc>
      </w:tr>
    </w:tbl>
    <w:p/>
    <w:p>
      <w:pPr>
        <w:pStyle w:val="Heading2"/>
      </w:pPr>
      <w:r>
        <w:t>Appendix O. Sponsor documents</w:t>
      </w:r>
    </w:p>
    <w:p>
      <w:r>
        <w:t>Status at 11 October 2026. “Signed” means signed and filed; “draft” means a working draft exists; “not started” means no draft exists.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Document</w:t>
            </w:r>
          </w:p>
        </w:tc>
        <w:tc>
          <w:tcPr>
            <w:tcW w:type="dxa" w:w="2880"/>
          </w:tcPr>
          <w:p>
            <w:r>
              <w:rPr>
                <w:b/>
              </w:rPr>
            </w:r>
            <w:r>
              <w:rPr>
                <w:b/>
                <w:sz w:val="18"/>
              </w:rPr>
              <w:t>Status</w:t>
            </w:r>
          </w:p>
        </w:tc>
        <w:tc>
          <w:tcPr>
            <w:tcW w:type="dxa" w:w="2880"/>
          </w:tcPr>
          <w:p>
            <w:r>
              <w:rPr>
                <w:b/>
              </w:rPr>
            </w:r>
            <w:r>
              <w:rPr>
                <w:b/>
                <w:sz w:val="18"/>
              </w:rPr>
              <w:t>Owner</w:t>
            </w:r>
          </w:p>
        </w:tc>
      </w:tr>
      <w:tr>
        <w:tc>
          <w:tcPr>
            <w:tcW w:type="dxa" w:w="2880"/>
          </w:tcPr>
          <w:p>
            <w:r/>
            <w:r>
              <w:rPr>
                <w:sz w:val="18"/>
              </w:rPr>
              <w:t>Protocol (this document)</w:t>
            </w:r>
          </w:p>
        </w:tc>
        <w:tc>
          <w:tcPr>
            <w:tcW w:type="dxa" w:w="2880"/>
          </w:tcPr>
          <w:p>
            <w:r/>
            <w:r>
              <w:rPr>
                <w:sz w:val="18"/>
              </w:rPr>
              <w:t>Draft, version 0.4. Not signed</w:t>
            </w:r>
          </w:p>
        </w:tc>
        <w:tc>
          <w:tcPr>
            <w:tcW w:type="dxa" w:w="2880"/>
          </w:tcPr>
          <w:p>
            <w:r/>
            <w:r>
              <w:rPr>
                <w:sz w:val="18"/>
              </w:rPr>
              <w:t>Chief Investigator, with the sponsor’s authorised signatory</w:t>
            </w:r>
          </w:p>
        </w:tc>
      </w:tr>
      <w:tr>
        <w:tc>
          <w:tcPr>
            <w:tcW w:type="dxa" w:w="2880"/>
          </w:tcPr>
          <w:p>
            <w:r/>
            <w:r>
              <w:rPr>
                <w:sz w:val="18"/>
              </w:rPr>
              <w:t>Statistical analysis plan</w:t>
            </w:r>
          </w:p>
        </w:tc>
        <w:tc>
          <w:tcPr>
            <w:tcW w:type="dxa" w:w="2880"/>
          </w:tcPr>
          <w:p>
            <w:r/>
            <w:r>
              <w:rPr>
                <w:sz w:val="18"/>
              </w:rPr>
              <w:t>Not started (outline in Statistical Analysis Plan section)</w:t>
            </w:r>
          </w:p>
        </w:tc>
        <w:tc>
          <w:tcPr>
            <w:tcW w:type="dxa" w:w="2880"/>
          </w:tcPr>
          <w:p>
            <w:r/>
            <w:r>
              <w:rPr>
                <w:sz w:val="18"/>
              </w:rPr>
              <w:t>Independent statistician (to be appointed)</w:t>
            </w:r>
          </w:p>
        </w:tc>
      </w:tr>
      <w:tr>
        <w:tc>
          <w:tcPr>
            <w:tcW w:type="dxa" w:w="2880"/>
          </w:tcPr>
          <w:p>
            <w:r/>
            <w:r>
              <w:rPr>
                <w:sz w:val="18"/>
              </w:rPr>
              <w:t>Sponsor quality system and procedures: consent, safety reporting, deviations and serious breaches, data management, monitoring, archiving</w:t>
            </w:r>
          </w:p>
        </w:tc>
        <w:tc>
          <w:tcPr>
            <w:tcW w:type="dxa" w:w="2880"/>
          </w:tcPr>
          <w:p>
            <w:r/>
            <w:r>
              <w:rPr>
                <w:sz w:val="18"/>
              </w:rPr>
              <w:t>Draft quality manual (version 0.1) and master-file procedure only. Study procedures not started</w:t>
            </w:r>
          </w:p>
        </w:tc>
        <w:tc>
          <w:tcPr>
            <w:tcW w:type="dxa" w:w="2880"/>
          </w:tcPr>
          <w:p>
            <w:r/>
            <w:r>
              <w:rPr>
                <w:sz w:val="18"/>
              </w:rPr>
              <w:t>Sponsor</w:t>
            </w:r>
          </w:p>
        </w:tc>
      </w:tr>
      <w:tr>
        <w:tc>
          <w:tcPr>
            <w:tcW w:type="dxa" w:w="2880"/>
          </w:tcPr>
          <w:p>
            <w:r/>
            <w:r>
              <w:rPr>
                <w:sz w:val="18"/>
              </w:rPr>
              <w:t>Clinical study insurance certificate, including no-fault compensation</w:t>
            </w:r>
          </w:p>
        </w:tc>
        <w:tc>
          <w:tcPr>
            <w:tcW w:type="dxa" w:w="2880"/>
          </w:tcPr>
          <w:p>
            <w:r/>
            <w:r>
              <w:rPr>
                <w:sz w:val="18"/>
              </w:rPr>
              <w:t>Not started. Quotation not obtained</w:t>
            </w:r>
          </w:p>
        </w:tc>
        <w:tc>
          <w:tcPr>
            <w:tcW w:type="dxa" w:w="2880"/>
          </w:tcPr>
          <w:p>
            <w:r/>
            <w:r>
              <w:rPr>
                <w:sz w:val="18"/>
              </w:rPr>
              <w:t>Sponsor</w:t>
            </w:r>
          </w:p>
        </w:tc>
      </w:tr>
      <w:tr>
        <w:tc>
          <w:tcPr>
            <w:tcW w:type="dxa" w:w="2880"/>
          </w:tcPr>
          <w:p>
            <w:r/>
            <w:r>
              <w:rPr>
                <w:sz w:val="18"/>
              </w:rPr>
              <w:t>Monitoring plan</w:t>
            </w:r>
          </w:p>
        </w:tc>
        <w:tc>
          <w:tcPr>
            <w:tcW w:type="dxa" w:w="2880"/>
          </w:tcPr>
          <w:p>
            <w:r/>
            <w:r>
              <w:rPr>
                <w:sz w:val="18"/>
              </w:rPr>
              <w:t>Not started</w:t>
            </w:r>
          </w:p>
        </w:tc>
        <w:tc>
          <w:tcPr>
            <w:tcW w:type="dxa" w:w="2880"/>
          </w:tcPr>
          <w:p>
            <w:r/>
            <w:r>
              <w:rPr>
                <w:sz w:val="18"/>
              </w:rPr>
              <w:t>Sponsor</w:t>
            </w:r>
          </w:p>
        </w:tc>
      </w:tr>
      <w:tr>
        <w:tc>
          <w:tcPr>
            <w:tcW w:type="dxa" w:w="2880"/>
          </w:tcPr>
          <w:p>
            <w:r/>
            <w:r>
              <w:rPr>
                <w:sz w:val="18"/>
              </w:rPr>
              <w:t>Delegation logs</w:t>
            </w:r>
          </w:p>
        </w:tc>
        <w:tc>
          <w:tcPr>
            <w:tcW w:type="dxa" w:w="2880"/>
          </w:tcPr>
          <w:p>
            <w:r/>
            <w:r>
              <w:rPr>
                <w:sz w:val="18"/>
              </w:rPr>
              <w:t>Sponsor-level log draft (version 0.1). Study log not opened</w:t>
            </w:r>
          </w:p>
        </w:tc>
        <w:tc>
          <w:tcPr>
            <w:tcW w:type="dxa" w:w="2880"/>
          </w:tcPr>
          <w:p>
            <w:r/>
            <w:r>
              <w:rPr>
                <w:sz w:val="18"/>
              </w:rPr>
              <w:t>Chief Investigator</w:t>
            </w:r>
          </w:p>
        </w:tc>
      </w:tr>
      <w:tr>
        <w:tc>
          <w:tcPr>
            <w:tcW w:type="dxa" w:w="2880"/>
          </w:tcPr>
          <w:p>
            <w:r/>
            <w:r>
              <w:rPr>
                <w:sz w:val="18"/>
              </w:rPr>
              <w:t>Data protection impact assessment</w:t>
            </w:r>
          </w:p>
        </w:tc>
        <w:tc>
          <w:tcPr>
            <w:tcW w:type="dxa" w:w="2880"/>
          </w:tcPr>
          <w:p>
            <w:r/>
            <w:r>
              <w:rPr>
                <w:sz w:val="18"/>
              </w:rPr>
              <w:t>Draft (short form). Not signed. Lawful basis to be updated</w:t>
            </w:r>
          </w:p>
        </w:tc>
        <w:tc>
          <w:tcPr>
            <w:tcW w:type="dxa" w:w="2880"/>
          </w:tcPr>
          <w:p>
            <w:r/>
            <w:r>
              <w:rPr>
                <w:sz w:val="18"/>
              </w:rPr>
              <w:t>Sponsor, with the data protection officer (to be named)</w:t>
            </w:r>
          </w:p>
        </w:tc>
      </w:tr>
      <w:tr>
        <w:tc>
          <w:tcPr>
            <w:tcW w:type="dxa" w:w="2880"/>
          </w:tcPr>
          <w:p>
            <w:r/>
            <w:r>
              <w:rPr>
                <w:sz w:val="18"/>
              </w:rPr>
              <w:t>Data protection officer name and ICO registration number</w:t>
            </w:r>
          </w:p>
        </w:tc>
        <w:tc>
          <w:tcPr>
            <w:tcW w:type="dxa" w:w="2880"/>
          </w:tcPr>
          <w:p>
            <w:r/>
            <w:r>
              <w:rPr>
                <w:sz w:val="18"/>
              </w:rPr>
              <w:t>Not recorded</w:t>
            </w:r>
          </w:p>
        </w:tc>
        <w:tc>
          <w:tcPr>
            <w:tcW w:type="dxa" w:w="2880"/>
          </w:tcPr>
          <w:p>
            <w:r/>
            <w:r>
              <w:rPr>
                <w:sz w:val="18"/>
              </w:rPr>
              <w:t>Sponsor</w:t>
            </w:r>
          </w:p>
        </w:tc>
      </w:tr>
      <w:tr>
        <w:tc>
          <w:tcPr>
            <w:tcW w:type="dxa" w:w="2880"/>
          </w:tcPr>
          <w:p>
            <w:r/>
            <w:r>
              <w:rPr>
                <w:sz w:val="18"/>
              </w:rPr>
              <w:t>Participant information sheet and consent</w:t>
            </w:r>
          </w:p>
        </w:tc>
        <w:tc>
          <w:tcPr>
            <w:tcW w:type="dxa" w:w="2880"/>
          </w:tcPr>
          <w:p>
            <w:r/>
            <w:r>
              <w:rPr>
                <w:sz w:val="18"/>
              </w:rPr>
              <w:t>Not started. Pending lawful-basis confirmation</w:t>
            </w:r>
          </w:p>
        </w:tc>
        <w:tc>
          <w:tcPr>
            <w:tcW w:type="dxa" w:w="2880"/>
          </w:tcPr>
          <w:p>
            <w:r/>
            <w:r>
              <w:rPr>
                <w:sz w:val="18"/>
              </w:rPr>
              <w:t>Chief Investigator</w:t>
            </w:r>
          </w:p>
        </w:tc>
      </w:tr>
      <w:tr>
        <w:tc>
          <w:tcPr>
            <w:tcW w:type="dxa" w:w="2880"/>
          </w:tcPr>
          <w:p>
            <w:r/>
            <w:r>
              <w:rPr>
                <w:sz w:val="18"/>
              </w:rPr>
              <w:t>Chief Investigator CV and good clinical practice training</w:t>
            </w:r>
          </w:p>
        </w:tc>
        <w:tc>
          <w:tcPr>
            <w:tcW w:type="dxa" w:w="2880"/>
          </w:tcPr>
          <w:p>
            <w:r/>
            <w:r>
              <w:rPr>
                <w:sz w:val="18"/>
              </w:rPr>
              <w:t>Not filed</w:t>
            </w:r>
          </w:p>
        </w:tc>
        <w:tc>
          <w:tcPr>
            <w:tcW w:type="dxa" w:w="2880"/>
          </w:tcPr>
          <w:p>
            <w:r/>
            <w:r>
              <w:rPr>
                <w:sz w:val="18"/>
              </w:rPr>
              <w:t>Chief Investigator</w:t>
            </w:r>
          </w:p>
        </w:tc>
      </w:tr>
      <w:tr>
        <w:tc>
          <w:tcPr>
            <w:tcW w:type="dxa" w:w="2880"/>
          </w:tcPr>
          <w:p>
            <w:r/>
            <w:r>
              <w:rPr>
                <w:sz w:val="18"/>
              </w:rPr>
              <w:t>Public registry entry</w:t>
            </w:r>
          </w:p>
        </w:tc>
        <w:tc>
          <w:tcPr>
            <w:tcW w:type="dxa" w:w="2880"/>
          </w:tcPr>
          <w:p>
            <w:r/>
            <w:r>
              <w:rPr>
                <w:sz w:val="18"/>
              </w:rPr>
              <w:t>Not started</w:t>
            </w:r>
          </w:p>
        </w:tc>
        <w:tc>
          <w:tcPr>
            <w:tcW w:type="dxa" w:w="2880"/>
          </w:tcPr>
          <w:p>
            <w:r/>
            <w:r>
              <w:rPr>
                <w:sz w:val="18"/>
              </w:rPr>
              <w:t>Sponsor</w:t>
            </w:r>
          </w:p>
        </w:tc>
      </w:tr>
      <w:tr>
        <w:tc>
          <w:tcPr>
            <w:tcW w:type="dxa" w:w="2880"/>
          </w:tcPr>
          <w:p>
            <w:r/>
            <w:r>
              <w:rPr>
                <w:sz w:val="18"/>
              </w:rPr>
              <w:t>Trial master file index</w:t>
            </w:r>
          </w:p>
        </w:tc>
        <w:tc>
          <w:tcPr>
            <w:tcW w:type="dxa" w:w="2880"/>
          </w:tcPr>
          <w:p>
            <w:r/>
            <w:r>
              <w:rPr>
                <w:sz w:val="18"/>
              </w:rPr>
              <w:t>Draft (essential documents checklist)</w:t>
            </w:r>
          </w:p>
        </w:tc>
        <w:tc>
          <w:tcPr>
            <w:tcW w:type="dxa" w:w="2880"/>
          </w:tcPr>
          <w:p>
            <w:r/>
            <w:r>
              <w:rPr>
                <w:sz w:val="18"/>
              </w:rPr>
              <w:t>Clinical master file manager</w:t>
            </w:r>
          </w:p>
        </w:tc>
      </w:tr>
      <w:tr>
        <w:tc>
          <w:tcPr>
            <w:tcW w:type="dxa" w:w="2880"/>
          </w:tcPr>
          <w:p>
            <w:r/>
            <w:r>
              <w:rPr>
                <w:sz w:val="18"/>
              </w:rPr>
              <w:t>Clinical-investigation determination and MHRA flowchart outcome</w:t>
            </w:r>
          </w:p>
        </w:tc>
        <w:tc>
          <w:tcPr>
            <w:tcW w:type="dxa" w:w="2880"/>
          </w:tcPr>
          <w:p>
            <w:r/>
            <w:r>
              <w:rPr>
                <w:sz w:val="18"/>
              </w:rPr>
              <w:t>Not started. Depends on the intended-purpose decision</w:t>
            </w:r>
          </w:p>
        </w:tc>
        <w:tc>
          <w:tcPr>
            <w:tcW w:type="dxa" w:w="2880"/>
          </w:tcPr>
          <w:p>
            <w:r/>
            <w:r>
              <w:rPr>
                <w:sz w:val="18"/>
              </w:rPr>
              <w:t>Sponsor, signed by the Chief Investigator</w:t>
            </w:r>
          </w:p>
        </w:tc>
      </w:tr>
      <w:tr>
        <w:tc>
          <w:tcPr>
            <w:tcW w:type="dxa" w:w="2880"/>
          </w:tcPr>
          <w:p>
            <w:r/>
            <w:r>
              <w:rPr>
                <w:sz w:val="18"/>
              </w:rPr>
              <w:t>Investigator’s brochure and technical documentation summary (only if the study is a clinical investigation)</w:t>
            </w:r>
          </w:p>
        </w:tc>
        <w:tc>
          <w:tcPr>
            <w:tcW w:type="dxa" w:w="2880"/>
          </w:tcPr>
          <w:p>
            <w:r/>
            <w:r>
              <w:rPr>
                <w:sz w:val="18"/>
              </w:rPr>
              <w:t>Not started</w:t>
            </w:r>
          </w:p>
        </w:tc>
        <w:tc>
          <w:tcPr>
            <w:tcW w:type="dxa" w:w="2880"/>
          </w:tcPr>
          <w:p>
            <w:r/>
            <w:r>
              <w:rPr>
                <w:sz w:val="18"/>
              </w:rPr>
              <w:t>Sponsor</w:t>
            </w:r>
          </w:p>
        </w:tc>
      </w:tr>
      <w:tr>
        <w:tc>
          <w:tcPr>
            <w:tcW w:type="dxa" w:w="2880"/>
          </w:tcPr>
          <w:p>
            <w:r/>
            <w:r>
              <w:rPr>
                <w:sz w:val="18"/>
              </w:rPr>
              <w:t>Site/services agreement with the Partner site</w:t>
            </w:r>
          </w:p>
        </w:tc>
        <w:tc>
          <w:tcPr>
            <w:tcW w:type="dxa" w:w="2880"/>
          </w:tcPr>
          <w:p>
            <w:r/>
            <w:r>
              <w:rPr>
                <w:sz w:val="18"/>
              </w:rPr>
              <w:t>Not started. Partner site to be confirmed</w:t>
            </w:r>
          </w:p>
        </w:tc>
        <w:tc>
          <w:tcPr>
            <w:tcW w:type="dxa" w:w="2880"/>
          </w:tcPr>
          <w:p>
            <w:r/>
            <w:r>
              <w:rPr>
                <w:sz w:val="18"/>
              </w:rPr>
              <w:t>Sponsor</w:t>
            </w:r>
          </w:p>
        </w:tc>
      </w:tr>
      <w:tr>
        <w:tc>
          <w:tcPr>
            <w:tcW w:type="dxa" w:w="2880"/>
          </w:tcPr>
          <w:p>
            <w:r/>
            <w:r>
              <w:rPr>
                <w:sz w:val="18"/>
              </w:rPr>
              <w:t>Clinical support agreement with Sleep and Health Clinic Ltd</w:t>
            </w:r>
          </w:p>
        </w:tc>
        <w:tc>
          <w:tcPr>
            <w:tcW w:type="dxa" w:w="2880"/>
          </w:tcPr>
          <w:p>
            <w:r/>
            <w:r>
              <w:rPr>
                <w:sz w:val="18"/>
              </w:rPr>
              <w:t>Draft, version 0.1. Not signed</w:t>
            </w:r>
          </w:p>
        </w:tc>
        <w:tc>
          <w:tcPr>
            <w:tcW w:type="dxa" w:w="2880"/>
          </w:tcPr>
          <w:p>
            <w:r/>
            <w:r>
              <w:rPr>
                <w:sz w:val="18"/>
              </w:rPr>
              <w:t>Sponsor</w:t>
            </w:r>
          </w:p>
        </w:tc>
      </w:tr>
      <w:tr>
        <w:tc>
          <w:tcPr>
            <w:tcW w:type="dxa" w:w="2880"/>
          </w:tcPr>
          <w:p>
            <w:r/>
            <w:r>
              <w:rPr>
                <w:sz w:val="18"/>
              </w:rPr>
              <w:t>Board minute recording the related-party interest</w:t>
            </w:r>
          </w:p>
        </w:tc>
        <w:tc>
          <w:tcPr>
            <w:tcW w:type="dxa" w:w="2880"/>
          </w:tcPr>
          <w:p>
            <w:r/>
            <w:r>
              <w:rPr>
                <w:sz w:val="18"/>
              </w:rPr>
              <w:t>Not on file</w:t>
            </w:r>
          </w:p>
        </w:tc>
        <w:tc>
          <w:tcPr>
            <w:tcW w:type="dxa" w:w="2880"/>
          </w:tcPr>
          <w:p>
            <w:r/>
            <w:r>
              <w:rPr>
                <w:sz w:val="18"/>
              </w:rPr>
              <w:t>Sponsor</w:t>
            </w:r>
          </w:p>
        </w:tc>
      </w:tr>
      <w:tr>
        <w:tc>
          <w:tcPr>
            <w:tcW w:type="dxa" w:w="2880"/>
          </w:tcPr>
          <w:p>
            <w:r/>
            <w:r>
              <w:rPr>
                <w:sz w:val="18"/>
              </w:rPr>
              <w:t>CSD-M industry licence</w:t>
            </w:r>
          </w:p>
        </w:tc>
        <w:tc>
          <w:tcPr>
            <w:tcW w:type="dxa" w:w="2880"/>
          </w:tcPr>
          <w:p>
            <w:r/>
            <w:r>
              <w:rPr>
                <w:sz w:val="18"/>
              </w:rPr>
              <w:t>Not on file</w:t>
            </w:r>
          </w:p>
        </w:tc>
        <w:tc>
          <w:tcPr>
            <w:tcW w:type="dxa" w:w="2880"/>
          </w:tcPr>
          <w:p>
            <w:r/>
            <w:r>
              <w:rPr>
                <w:sz w:val="18"/>
              </w:rPr>
              <w:t>Sponsor</w:t>
            </w:r>
          </w:p>
        </w:tc>
      </w:tr>
      <w:tr>
        <w:tc>
          <w:tcPr>
            <w:tcW w:type="dxa" w:w="2880"/>
          </w:tcPr>
          <w:p>
            <w:r/>
            <w:r>
              <w:rPr>
                <w:sz w:val="18"/>
              </w:rPr>
              <w:t>Research-ready app version pin and release note</w:t>
            </w:r>
          </w:p>
        </w:tc>
        <w:tc>
          <w:tcPr>
            <w:tcW w:type="dxa" w:w="2880"/>
          </w:tcPr>
          <w:p>
            <w:r/>
            <w:r>
              <w:rPr>
                <w:sz w:val="18"/>
              </w:rPr>
              <w:t>Not started</w:t>
            </w:r>
          </w:p>
        </w:tc>
        <w:tc>
          <w:tcPr>
            <w:tcW w:type="dxa" w:w="2880"/>
          </w:tcPr>
          <w:p>
            <w:r/>
            <w:r>
              <w:rPr>
                <w:sz w:val="18"/>
              </w:rPr>
              <w:t>Sponsor</w:t>
            </w:r>
          </w:p>
        </w:tc>
      </w:tr>
      <w:tr>
        <w:tc>
          <w:tcPr>
            <w:tcW w:type="dxa" w:w="2880"/>
          </w:tcPr>
          <w:p>
            <w:r/>
            <w:r>
              <w:rPr>
                <w:sz w:val="18"/>
              </w:rPr>
              <w:t>Data management plan</w:t>
            </w:r>
          </w:p>
        </w:tc>
        <w:tc>
          <w:tcPr>
            <w:tcW w:type="dxa" w:w="2880"/>
          </w:tcPr>
          <w:p>
            <w:r/>
            <w:r>
              <w:rPr>
                <w:sz w:val="18"/>
              </w:rPr>
              <w:t>Draft, version 0.3 (11 October 2026)</w:t>
            </w:r>
          </w:p>
        </w:tc>
        <w:tc>
          <w:tcPr>
            <w:tcW w:type="dxa" w:w="2880"/>
          </w:tcPr>
          <w:p>
            <w:r/>
            <w:r>
              <w:rPr>
                <w:sz w:val="18"/>
              </w:rPr>
              <w:t>Sponsor, with the Chief Investigator</w:t>
            </w:r>
          </w:p>
        </w:tc>
      </w:tr>
      <w:tr>
        <w:tc>
          <w:tcPr>
            <w:tcW w:type="dxa" w:w="2880"/>
          </w:tcPr>
          <w:p>
            <w:r/>
            <w:r>
              <w:rPr>
                <w:sz w:val="18"/>
              </w:rPr>
              <w:t>Data note for any outbound share of study data</w:t>
            </w:r>
          </w:p>
        </w:tc>
        <w:tc>
          <w:tcPr>
            <w:tcW w:type="dxa" w:w="2880"/>
          </w:tcPr>
          <w:p>
            <w:r/>
            <w:r>
              <w:rPr>
                <w:sz w:val="18"/>
              </w:rPr>
              <w:t>Not started. Needed before any transfer</w:t>
            </w:r>
          </w:p>
        </w:tc>
        <w:tc>
          <w:tcPr>
            <w:tcW w:type="dxa" w:w="2880"/>
          </w:tcPr>
          <w:p>
            <w:r/>
            <w:r>
              <w:rPr>
                <w:sz w:val="18"/>
              </w:rPr>
              <w:t>Sponsor</w:t>
            </w:r>
          </w:p>
        </w:tc>
      </w:tr>
      <w:tr>
        <w:tc>
          <w:tcPr>
            <w:tcW w:type="dxa" w:w="2880"/>
          </w:tcPr>
          <w:p>
            <w:r/>
            <w:r>
              <w:rPr>
                <w:sz w:val="18"/>
              </w:rPr>
              <w:t>Recruitment platform terms (Prolific)</w:t>
            </w:r>
          </w:p>
        </w:tc>
        <w:tc>
          <w:tcPr>
            <w:tcW w:type="dxa" w:w="2880"/>
          </w:tcPr>
          <w:p>
            <w:r/>
            <w:r>
              <w:rPr>
                <w:sz w:val="18"/>
              </w:rPr>
              <w:t>Not on file</w:t>
            </w:r>
          </w:p>
        </w:tc>
        <w:tc>
          <w:tcPr>
            <w:tcW w:type="dxa" w:w="2880"/>
          </w:tcPr>
          <w:p>
            <w:r/>
            <w:r>
              <w:rPr>
                <w:sz w:val="18"/>
              </w:rPr>
              <w:t>Sponsor</w:t>
            </w:r>
          </w:p>
        </w:tc>
      </w:tr>
      <w:tr>
        <w:tc>
          <w:tcPr>
            <w:tcW w:type="dxa" w:w="2880"/>
          </w:tcPr>
          <w:p>
            <w:r/>
            <w:r>
              <w:rPr>
                <w:sz w:val="18"/>
              </w:rPr>
              <w:t>Reference copy: HRA notice “Clinical trials regulations: updated suite of UK model agreements now in use” (28 April 2026), saved as PDF with URL and access date (11 October 2026)</w:t>
            </w:r>
          </w:p>
        </w:tc>
        <w:tc>
          <w:tcPr>
            <w:tcW w:type="dxa" w:w="2880"/>
          </w:tcPr>
          <w:p>
            <w:r/>
            <w:r>
              <w:rPr>
                <w:sz w:val="18"/>
              </w:rPr>
              <w:t>Filed: sponsor-documents/HRA-notice-updated-model-agreements-2026-04-28-accessed-2026-10-11.pdf</w:t>
            </w:r>
          </w:p>
        </w:tc>
        <w:tc>
          <w:tcPr>
            <w:tcW w:type="dxa" w:w="2880"/>
          </w:tcPr>
          <w:p>
            <w:r/>
            <w:r>
              <w:rPr>
                <w:sz w:val="18"/>
              </w:rPr>
              <w:t>Clinical master file manager</w:t>
            </w:r>
          </w:p>
        </w:tc>
      </w:tr>
      <w:tr>
        <w:tc>
          <w:tcPr>
            <w:tcW w:type="dxa" w:w="2880"/>
          </w:tcPr>
          <w:p>
            <w:r/>
            <w:r>
              <w:rPr>
                <w:sz w:val="18"/>
              </w:rPr>
              <w:t>Reference copy: model Clinical Investigation Agreement, version 6.0 (August 2026), front page, with source URL and access date (11 October 2026)</w:t>
            </w:r>
          </w:p>
        </w:tc>
        <w:tc>
          <w:tcPr>
            <w:tcW w:type="dxa" w:w="2880"/>
          </w:tcPr>
          <w:p>
            <w:r/>
            <w:r>
              <w:rPr>
                <w:sz w:val="18"/>
              </w:rPr>
              <w:t>Filed: sponsor-documents/mCIA-v6.0-August-2026-front-page-accessed-2026-10-11.pdf (sources listed in sponsor-documents/README-sources.md)</w:t>
            </w:r>
          </w:p>
        </w:tc>
        <w:tc>
          <w:tcPr>
            <w:tcW w:type="dxa" w:w="2880"/>
          </w:tcPr>
          <w:p>
            <w:r/>
            <w:r>
              <w:rPr>
                <w:sz w:val="18"/>
              </w:rPr>
              <w:t>Clinical master file manager</w:t>
            </w:r>
          </w:p>
        </w:tc>
      </w:tr>
    </w:tbl>
    <w:p/>
    <w:p>
      <w:r>
        <w:t>End of protocol LAZ-VAL-001 version 0.4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version 0.4</dc:title>
  <dc:subject/>
  <dc:creator>Sleep and Health Clinic App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