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UK Digital Sleep Research Consortium</w:t>
        <w:br/>
        <w:t>Prospectus</w:t>
      </w:r>
    </w:p>
    <w:p>
      <w:pPr>
        <w:jc w:val="center"/>
      </w:pPr>
      <w:r>
        <w:rPr>
          <w:b/>
        </w:rPr>
        <w:t>Developing the World's First Clinically Validated Digital Sleep Phenotyping Platform</w:t>
        <w:br/>
      </w:r>
      <w:r>
        <w:t>Draft Prospectus</w:t>
        <w:br/>
        <w:t>Prepared for NHS Trusts, Universities, Research Partners and Commercial Collaborators</w:t>
        <w:br/>
        <w:t>July 2026</w:t>
      </w:r>
    </w:p>
    <w:p>
      <w:pPr>
        <w:pStyle w:val="Heading1"/>
      </w:pPr>
      <w:r>
        <w:t>Purpose of this Prospectus</w:t>
      </w:r>
    </w:p>
    <w:p>
      <w:r>
        <w:t>This document outlines the vision for a national collaborative research programme centred on the Digital Lifestyle and Sleep Diary Platform. It is intended to support engagement with NHS Trusts, universities, NIHR programmes, Innovate UK, commercial collaborators and international partners.</w:t>
      </w:r>
    </w:p>
    <w:p>
      <w:pPr>
        <w:pStyle w:val="Heading1"/>
      </w:pPr>
      <w:r>
        <w:t>Executive Summary</w:t>
      </w:r>
    </w:p>
    <w:p>
      <w:r>
        <w:t>Sleep disorders place a major burden on healthcare systems. This programme seeks to replace paper sleep diaries with a clinically validated digital platform that supports research, remote monitoring, AI-enabled analytics and future precision sleep medicine.</w:t>
      </w:r>
    </w:p>
    <w:p>
      <w:pPr>
        <w:pStyle w:val="Heading1"/>
      </w:pPr>
      <w:r>
        <w:t>Strategic Vision</w:t>
      </w:r>
    </w:p>
    <w:p>
      <w:r>
        <w:t>Establish a UK Digital Sleep Research Consortium and create the largest longitudinal repository of subjective sleep and lifestyle data, integrated with objective physiological measurements.</w:t>
      </w:r>
    </w:p>
    <w:p>
      <w:pPr>
        <w:pStyle w:val="Heading1"/>
      </w:pPr>
      <w:r>
        <w:t>Current Evidence</w:t>
      </w:r>
    </w:p>
    <w:p>
      <w:r>
        <w:t>Existing work includes a UCLH feasibility and validation protocol, pilot usability work, TRL 6 technical evidence, interoperability planning, AI roadmap, regulatory planning, intellectual property strategy, dissemination plan, PPI strategy and Net Zero roadmap.</w:t>
      </w:r>
    </w:p>
    <w:p>
      <w:pPr>
        <w:pStyle w:val="Heading1"/>
      </w:pPr>
      <w:r>
        <w:t>Research Programme</w:t>
      </w:r>
    </w:p>
    <w:p>
      <w:r>
        <w:t>Phase 1: UCLH feasibility.</w:t>
        <w:br/>
        <w:t>Phase 2: Multi-centre NHS validation.</w:t>
        <w:br/>
        <w:t>Phase 3: UK National Digital Sleep Registry.</w:t>
        <w:br/>
        <w:t>Phase 4: International expansion.</w:t>
      </w:r>
    </w:p>
    <w:p>
      <w:pPr>
        <w:pStyle w:val="Heading1"/>
      </w:pPr>
      <w:r>
        <w:t>Technology Platform</w:t>
      </w:r>
    </w:p>
    <w:p>
      <w:r>
        <w:t>Mobile applications, clinician dashboard, secure cloud platform, APIs, HL7 FHIR interoperability, NHS Login roadmap, wearable integration, lifestyle monitoring and future AI decision support.</w:t>
      </w:r>
    </w:p>
    <w:p>
      <w:pPr>
        <w:pStyle w:val="Heading1"/>
      </w:pPr>
      <w:r>
        <w:t>Clinical Governance</w:t>
      </w:r>
    </w:p>
    <w:p>
      <w:r>
        <w:t>GDPR-compliant data governance, pseudonymisation, role-based access control, audit trails, encrypted storage, research governance and long-term archiving.</w:t>
      </w:r>
    </w:p>
    <w:p>
      <w:pPr>
        <w:pStyle w:val="Heading1"/>
      </w:pPr>
      <w:r>
        <w:t>Artificial Intelligence</w:t>
      </w:r>
    </w:p>
    <w:p>
      <w:r>
        <w:t>Explainable AI, multimodal data fusion, predictive personalisation, clinical validation and future digital biomarker development.</w:t>
      </w:r>
    </w:p>
    <w:p>
      <w:pPr>
        <w:pStyle w:val="Heading1"/>
      </w:pPr>
      <w:r>
        <w:t>Commercial Strategy</w:t>
      </w:r>
    </w:p>
    <w:p>
      <w:r>
        <w:t>Research licences, NHS subscription model, university licences, pharmaceutical research licences and international enterprise partnerships.</w:t>
      </w:r>
    </w:p>
    <w:p>
      <w:pPr>
        <w:pStyle w:val="Heading1"/>
      </w:pPr>
      <w:r>
        <w:t>Regulatory Roadmap</w:t>
      </w:r>
    </w:p>
    <w:p>
      <w:r>
        <w:t>MHRA, UKCA, DTAC, DSPT, ISO 13485, DCB0129, Cyber Essentials and NHS procurement readiness.</w:t>
      </w:r>
    </w:p>
    <w:p>
      <w:pPr>
        <w:pStyle w:val="Heading1"/>
      </w:pPr>
      <w:r>
        <w:t>Net Zero &amp; Sustainability</w:t>
      </w:r>
    </w:p>
    <w:p>
      <w:r>
        <w:t>Replacement of paper pathways, reduced travel, lower administrative burden and support for NHS Net Zero objectives.</w:t>
      </w:r>
    </w:p>
    <w:p>
      <w:pPr>
        <w:pStyle w:val="Heading1"/>
      </w:pPr>
      <w:r>
        <w:t>Consortium Structure</w:t>
      </w:r>
    </w:p>
    <w:p>
      <w:r>
        <w:t>Steering Committee, Scientific Advisory Board, Clinical Advisory Board, Patient &amp; Public Involvement Panel, Industry Advisory Group and international collaborators.</w:t>
      </w:r>
    </w:p>
    <w:p>
      <w:pPr>
        <w:pStyle w:val="Heading1"/>
      </w:pPr>
      <w:r>
        <w:t>Call for Collaboration</w:t>
      </w:r>
    </w:p>
    <w:p>
      <w:r>
        <w:t>We invite NHS Trusts, universities, industry and funding organisations to participate in a national validation and implementation programme.</w:t>
      </w:r>
    </w:p>
    <w:p>
      <w:pPr>
        <w:pStyle w:val="Heading1"/>
      </w:pPr>
      <w:r>
        <w:t>Proposed Full Prospectus Structure (70–100 pages)</w:t>
      </w:r>
    </w:p>
    <w:p>
      <w:pPr>
        <w:pStyle w:val="ListNumber"/>
      </w:pPr>
      <w:r>
        <w:t>1. Executive Summary</w:t>
      </w:r>
    </w:p>
    <w:p>
      <w:pPr>
        <w:pStyle w:val="ListNumber"/>
      </w:pPr>
      <w:r>
        <w:t>2. Clinical Need</w:t>
      </w:r>
    </w:p>
    <w:p>
      <w:pPr>
        <w:pStyle w:val="ListNumber"/>
      </w:pPr>
      <w:r>
        <w:t>3. Digital Sleep Platform</w:t>
      </w:r>
    </w:p>
    <w:p>
      <w:pPr>
        <w:pStyle w:val="ListNumber"/>
      </w:pPr>
      <w:r>
        <w:t>4. Technology Architecture</w:t>
      </w:r>
    </w:p>
    <w:p>
      <w:pPr>
        <w:pStyle w:val="ListNumber"/>
      </w:pPr>
      <w:r>
        <w:t>5. Clinical Validation</w:t>
      </w:r>
    </w:p>
    <w:p>
      <w:pPr>
        <w:pStyle w:val="ListNumber"/>
      </w:pPr>
      <w:r>
        <w:t>6. AI &amp; Digital Biomarkers</w:t>
      </w:r>
    </w:p>
    <w:p>
      <w:pPr>
        <w:pStyle w:val="ListNumber"/>
      </w:pPr>
      <w:r>
        <w:t>7. Interoperability</w:t>
      </w:r>
    </w:p>
    <w:p>
      <w:pPr>
        <w:pStyle w:val="ListNumber"/>
      </w:pPr>
      <w:r>
        <w:t>8. Data Governance</w:t>
      </w:r>
    </w:p>
    <w:p>
      <w:pPr>
        <w:pStyle w:val="ListNumber"/>
      </w:pPr>
      <w:r>
        <w:t>9. Regulatory Strategy</w:t>
      </w:r>
    </w:p>
    <w:p>
      <w:pPr>
        <w:pStyle w:val="ListNumber"/>
      </w:pPr>
      <w:r>
        <w:t>10. Commercialisation</w:t>
      </w:r>
    </w:p>
    <w:p>
      <w:pPr>
        <w:pStyle w:val="ListNumber"/>
      </w:pPr>
      <w:r>
        <w:t>11. Intellectual Property</w:t>
      </w:r>
    </w:p>
    <w:p>
      <w:pPr>
        <w:pStyle w:val="ListNumber"/>
      </w:pPr>
      <w:r>
        <w:t>12. Net Zero</w:t>
      </w:r>
    </w:p>
    <w:p>
      <w:pPr>
        <w:pStyle w:val="ListNumber"/>
      </w:pPr>
      <w:r>
        <w:t>13. PPI</w:t>
      </w:r>
    </w:p>
    <w:p>
      <w:pPr>
        <w:pStyle w:val="ListNumber"/>
      </w:pPr>
      <w:r>
        <w:t>14. Knowledge Mobilisation</w:t>
      </w:r>
    </w:p>
    <w:p>
      <w:pPr>
        <w:pStyle w:val="ListNumber"/>
      </w:pPr>
      <w:r>
        <w:t>15. Five-Year Roadmap</w:t>
      </w:r>
    </w:p>
    <w:p>
      <w:pPr>
        <w:pStyle w:val="ListNumber"/>
      </w:pPr>
      <w:r>
        <w:t>16. Funding Strategy</w:t>
      </w:r>
    </w:p>
    <w:p>
      <w:pPr>
        <w:pStyle w:val="ListNumber"/>
      </w:pPr>
      <w:r>
        <w:t>17. Consortium Model</w:t>
      </w:r>
    </w:p>
    <w:p>
      <w:pPr>
        <w:pStyle w:val="ListNumber"/>
      </w:pPr>
      <w:r>
        <w:t>18. International Expansion</w:t>
      </w:r>
    </w:p>
    <w:p>
      <w:pPr>
        <w:pStyle w:val="ListNumber"/>
      </w:pPr>
      <w:r>
        <w:t>19. Appendices</w:t>
      </w:r>
    </w:p>
    <w:p>
      <w:pPr>
        <w:pStyle w:val="Heading1"/>
      </w:pPr>
      <w:r>
        <w:t>Next Steps</w:t>
      </w:r>
    </w:p>
    <w:p>
      <w:r>
        <w:t>This document is intended as the foundation for a professionally designed flagship prospectus. The next iteration should incorporate branded graphics, the UCLH data-flow diagram, architecture figures, Gantt charts, commercial models, governance diagrams and publication-quality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