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913AD" w14:textId="77777777" w:rsidR="00590D19" w:rsidRDefault="00000000">
      <w:pPr>
        <w:spacing w:after="200"/>
        <w:jc w:val="center"/>
      </w:pPr>
      <w:r>
        <w:rPr>
          <w:b/>
          <w:bCs/>
          <w:color w:val="005EB8"/>
          <w:sz w:val="28"/>
          <w:szCs w:val="28"/>
        </w:rPr>
        <w:t>COLLABORATIVE RESEARCH PROPOSAL</w:t>
      </w:r>
    </w:p>
    <w:p w14:paraId="74D913AE" w14:textId="77777777" w:rsidR="00590D19" w:rsidRDefault="00000000">
      <w:pPr>
        <w:spacing w:after="120"/>
        <w:jc w:val="center"/>
      </w:pPr>
      <w:r>
        <w:rPr>
          <w:b/>
          <w:bCs/>
          <w:color w:val="003087"/>
          <w:sz w:val="36"/>
          <w:szCs w:val="36"/>
        </w:rPr>
        <w:t>Multi-Centre Validation Studies of the</w:t>
      </w:r>
    </w:p>
    <w:p w14:paraId="74D913AF" w14:textId="77777777" w:rsidR="00590D19" w:rsidRDefault="00000000">
      <w:pPr>
        <w:spacing w:after="300"/>
        <w:jc w:val="center"/>
      </w:pPr>
      <w:r>
        <w:rPr>
          <w:b/>
          <w:bCs/>
          <w:color w:val="005EB8"/>
          <w:sz w:val="40"/>
          <w:szCs w:val="40"/>
        </w:rPr>
        <w:t>Digital Sleep Diary (DSD)</w:t>
      </w:r>
    </w:p>
    <w:p w14:paraId="74D913B0" w14:textId="77777777" w:rsidR="00590D19" w:rsidRDefault="00000000">
      <w:pPr>
        <w:spacing w:after="200"/>
        <w:jc w:val="center"/>
      </w:pPr>
      <w:r>
        <w:rPr>
          <w:i/>
          <w:iCs/>
          <w:color w:val="333333"/>
          <w:sz w:val="24"/>
          <w:szCs w:val="24"/>
        </w:rPr>
        <w:t>An Invitation to Partner with UK Universities and NHS Trusts</w:t>
      </w:r>
    </w:p>
    <w:p w14:paraId="74D913B1" w14:textId="77777777" w:rsidR="00590D19" w:rsidRDefault="00000000">
      <w:pPr>
        <w:spacing w:after="400"/>
        <w:jc w:val="center"/>
      </w:pPr>
      <w:r>
        <w:t>July 2026</w:t>
      </w:r>
    </w:p>
    <w:p w14:paraId="74D913B2" w14:textId="77777777" w:rsidR="00590D19" w:rsidRDefault="00000000">
      <w:pPr>
        <w:pStyle w:val="Heading1"/>
      </w:pPr>
      <w:r>
        <w:t>Executive Summary</w:t>
      </w:r>
    </w:p>
    <w:p w14:paraId="74D913B3" w14:textId="77777777" w:rsidR="00590D19" w:rsidRDefault="00000000">
      <w:pPr>
        <w:spacing w:after="200"/>
      </w:pPr>
      <w:r>
        <w:t>We are seeking collaborative partners from leading UK universities and NHS Trusts to conduct rigorous, multi-centre validation studies of our Digital Sleep Diary (DSD) platform. Building on established standards such as the Consensus Sleep Diary (CSD) and emerging evidence for digital sleep assessment tools, the DSD offers a modern, patient-centred, timestamped, and automated solution for prospective sleep self-monitoring.</w:t>
      </w:r>
    </w:p>
    <w:p w14:paraId="74D913B4" w14:textId="77777777" w:rsidR="00590D19" w:rsidRDefault="00000000">
      <w:pPr>
        <w:spacing w:after="200"/>
      </w:pPr>
      <w:r>
        <w:t>This proposal outlines a phased programme of validation work designed to generate high-quality evidence on psychometric properties, agreement with objective measures (actigraphy and polysomnography), usability in real-world NHS and research settings, and sensitivity to clinical change. Successful validation will position the DSD as a trusted, standardised tool for sleep research, clinical trials, and eventual integration into NHS sleep and mental health pathways.</w:t>
      </w:r>
    </w:p>
    <w:p w14:paraId="74D913B5" w14:textId="77777777" w:rsidR="00590D19" w:rsidRDefault="00000000">
      <w:pPr>
        <w:spacing w:after="200"/>
      </w:pPr>
      <w:r>
        <w:t>Partners will benefit from co-authorship on peer-reviewed publications, no-cost access to the platform during studies, training and support, and preferred commercial licensing terms post-validation. We propose a sustainable commercial licensing model (detailed below) to ensure long-term maintenance, security compliance, and continued innovation while keeping the tool accessible for non-profit research and NHS use.</w:t>
      </w:r>
    </w:p>
    <w:p w14:paraId="74D913B6" w14:textId="77777777" w:rsidR="00590D19" w:rsidRDefault="00000000">
      <w:pPr>
        <w:pStyle w:val="Heading1"/>
      </w:pPr>
      <w:r>
        <w:t>Background and Rationale</w:t>
      </w:r>
    </w:p>
    <w:p w14:paraId="74D913B7" w14:textId="77777777" w:rsidR="00590D19" w:rsidRDefault="00000000">
      <w:pPr>
        <w:pStyle w:val="Heading2"/>
      </w:pPr>
      <w:r>
        <w:t>The Importance of Standardised Sleep Diaries</w:t>
      </w:r>
    </w:p>
    <w:p w14:paraId="74D913B8" w14:textId="77777777" w:rsidR="00590D19" w:rsidRDefault="00000000">
      <w:pPr>
        <w:spacing w:after="160"/>
      </w:pPr>
      <w:r>
        <w:t>Sleep diaries remain the cornerstone of subjective sleep assessment in insomnia research, cognitive behavioural therapy for insomnia (CBT-I), clinical trials, and epidemiological studies. They provide critical data on sleep timing, continuity, and quality that objective measures alone cannot capture (patient perception, napping, environmental factors). The 2012 Consensus Sleep Diary (CSD), developed through expert consensus and patient input, has become the de facto standard for paper-based prospective monitoring.</w:t>
      </w:r>
    </w:p>
    <w:p w14:paraId="74D913B9" w14:textId="77777777" w:rsidR="00590D19" w:rsidRDefault="00000000">
      <w:pPr>
        <w:spacing w:after="160"/>
      </w:pPr>
      <w:r>
        <w:t>However, paper diaries suffer from well-documented limitations: retrospective completion (back-filling), poor timestamp compliance, transcription errors, lost forms, and high patient/researcher burden for data entry and scoring. These issues threaten data quality, reproducibility, and scalability of multi-site studies.</w:t>
      </w:r>
    </w:p>
    <w:p w14:paraId="74D913BA" w14:textId="77777777" w:rsidR="00590D19" w:rsidRDefault="00000000">
      <w:pPr>
        <w:pStyle w:val="Heading2"/>
      </w:pPr>
      <w:r>
        <w:t>Why Digital? Advantages and Current Evidence Gaps</w:t>
      </w:r>
    </w:p>
    <w:p w14:paraId="74D913BB" w14:textId="77777777" w:rsidR="00590D19" w:rsidRDefault="00000000">
      <w:pPr>
        <w:spacing w:after="160"/>
      </w:pPr>
      <w:r>
        <w:t>Digital sleep diaries address many of these limitations through automated timestamps, push-notification reminders, real-time calculation of key metrics (Sleep Onset Latency – SOL, Wake After Sleep Onset – WASO, Total Sleep Time – TST, Sleep Efficiency – SE, number of awakenings), graphical feedback for patients, and seamless secure data export for researchers. Emerging studies demonstrate good acceptability, comparable or superior compliance to paper, and promising agreement with actigraphy and single-channel EEG in selected populations.</w:t>
      </w:r>
    </w:p>
    <w:p w14:paraId="74D913BC" w14:textId="77777777" w:rsidR="00590D19" w:rsidRDefault="00000000">
      <w:pPr>
        <w:spacing w:after="160"/>
      </w:pPr>
      <w:r>
        <w:lastRenderedPageBreak/>
        <w:t>Despite this, several evidence gaps remain that large-scale, multi-centre NHS- and university-based studies can address:</w:t>
      </w:r>
    </w:p>
    <w:p w14:paraId="74D913BD" w14:textId="77777777" w:rsidR="00590D19" w:rsidRDefault="00000000">
      <w:pPr>
        <w:pStyle w:val="ListParagraph"/>
        <w:numPr>
          <w:ilvl w:val="0"/>
          <w:numId w:val="2"/>
        </w:numPr>
      </w:pPr>
      <w:r>
        <w:t>Limited validation against gold-standard polysomnography (PSG) or high-quality actigraphy in diverse clinical insomnia populations attending NHS sleep services.</w:t>
      </w:r>
    </w:p>
    <w:p w14:paraId="74D913BE" w14:textId="77777777" w:rsidR="00590D19" w:rsidRDefault="00000000">
      <w:pPr>
        <w:pStyle w:val="ListParagraph"/>
        <w:numPr>
          <w:ilvl w:val="0"/>
          <w:numId w:val="2"/>
        </w:numPr>
      </w:pPr>
      <w:r>
        <w:t>Insufficient data on long-term adherence, usability across age groups, socioeconomic backgrounds, and digital literacy levels typical of NHS patients.</w:t>
      </w:r>
    </w:p>
    <w:p w14:paraId="74D913BF" w14:textId="77777777" w:rsidR="00590D19" w:rsidRDefault="00000000">
      <w:pPr>
        <w:pStyle w:val="ListParagraph"/>
        <w:numPr>
          <w:ilvl w:val="0"/>
          <w:numId w:val="2"/>
        </w:numPr>
      </w:pPr>
      <w:r>
        <w:t>Lack of standardised frameworks applied consistently across digital diary platforms for bias, limits of agreement, and epoch-level considerations (where relevant).</w:t>
      </w:r>
    </w:p>
    <w:p w14:paraId="74D913C0" w14:textId="77777777" w:rsidR="00590D19" w:rsidRDefault="00000000">
      <w:pPr>
        <w:pStyle w:val="ListParagraph"/>
        <w:numPr>
          <w:ilvl w:val="0"/>
          <w:numId w:val="2"/>
        </w:numPr>
      </w:pPr>
      <w:r>
        <w:t>Few studies examining integration into NHS clinical workflows, data security/compliance (DSPT, NHS Digital standards), or interoperability with electronic patient records and research platforms (e.g., REDCap).</w:t>
      </w:r>
    </w:p>
    <w:p w14:paraId="74D913C1" w14:textId="77777777" w:rsidR="00590D19" w:rsidRDefault="00000000">
      <w:pPr>
        <w:pStyle w:val="ListParagraph"/>
        <w:numPr>
          <w:ilvl w:val="0"/>
          <w:numId w:val="2"/>
        </w:numPr>
        <w:spacing w:after="200"/>
      </w:pPr>
      <w:r>
        <w:t>Need for evidence on responsiveness to change in treatment settings (CBT-I, pharmacological, digital therapeutics) and test-retest reliability in real-world use.</w:t>
      </w:r>
    </w:p>
    <w:p w14:paraId="74D913C2" w14:textId="77777777" w:rsidR="00590D19" w:rsidRDefault="00000000">
      <w:pPr>
        <w:pStyle w:val="Heading2"/>
      </w:pPr>
      <w:r>
        <w:t>The Digital Sleep Diary (DSD) Platform</w:t>
      </w:r>
    </w:p>
    <w:p w14:paraId="74D913C3" w14:textId="77777777" w:rsidR="00590D19" w:rsidRDefault="00000000">
      <w:pPr>
        <w:spacing w:after="160"/>
      </w:pPr>
      <w:r>
        <w:t>The DSD is a secure, GDPR- and DSPT-aligned web and native mobile application (iOS/Android) that implements and extends the core CSD items with modern digital features. Core daily questions capture: bedtime, sleep onset time, final wake time, rise time, number and duration of awakenings, sleep quality (VAS or Likert), and optional napping/caffeine/alcohol/medication use. Automated algorithms compute and display SOL, WASO, TST, SE, and sleep midpoint with clear visual summaries and trend graphs.</w:t>
      </w:r>
    </w:p>
    <w:p w14:paraId="74D913C4" w14:textId="77777777" w:rsidR="00590D19" w:rsidRDefault="00000000">
      <w:pPr>
        <w:spacing w:after="160"/>
      </w:pPr>
      <w:r>
        <w:t>Key platform capabilities include:</w:t>
      </w:r>
    </w:p>
    <w:p w14:paraId="74D913C5" w14:textId="77777777" w:rsidR="00590D19" w:rsidRDefault="00000000">
      <w:pPr>
        <w:pStyle w:val="ListParagraph"/>
        <w:numPr>
          <w:ilvl w:val="0"/>
          <w:numId w:val="2"/>
        </w:numPr>
      </w:pPr>
      <w:r>
        <w:t>Timestamped entries with mandatory completion windows and smart reminders to minimise back-filling.</w:t>
      </w:r>
    </w:p>
    <w:p w14:paraId="74D913C6" w14:textId="77777777" w:rsidR="00590D19" w:rsidRDefault="00000000">
      <w:pPr>
        <w:pStyle w:val="ListParagraph"/>
        <w:numPr>
          <w:ilvl w:val="0"/>
          <w:numId w:val="2"/>
        </w:numPr>
      </w:pPr>
      <w:r>
        <w:t>Researcher dashboard for real-time compliance monitoring, aggregate metrics, and one-click CSV/Excel/API export compatible with common statistical packages and trial platforms.</w:t>
      </w:r>
    </w:p>
    <w:p w14:paraId="74D913C7" w14:textId="77777777" w:rsidR="00590D19" w:rsidRDefault="00000000">
      <w:pPr>
        <w:pStyle w:val="ListParagraph"/>
        <w:numPr>
          <w:ilvl w:val="0"/>
          <w:numId w:val="2"/>
        </w:numPr>
      </w:pPr>
      <w:r>
        <w:t>Optional secure integration modules for wearable data (e.g., Oura, Fitbit, Apple Health, Garmin) to enable hybrid sensor + self-report studies.</w:t>
      </w:r>
    </w:p>
    <w:p w14:paraId="74D913C8" w14:textId="77777777" w:rsidR="00590D19" w:rsidRDefault="00000000">
      <w:pPr>
        <w:pStyle w:val="ListParagraph"/>
        <w:numPr>
          <w:ilvl w:val="0"/>
          <w:numId w:val="2"/>
        </w:numPr>
      </w:pPr>
      <w:r>
        <w:t>NHS-appropriate security: encryption at rest/transit, role-based access, audit logging, pseudonymisation support, and full compliance documentation.</w:t>
      </w:r>
    </w:p>
    <w:p w14:paraId="74D913C9" w14:textId="77777777" w:rsidR="00590D19" w:rsidRDefault="00000000">
      <w:pPr>
        <w:pStyle w:val="ListParagraph"/>
        <w:numPr>
          <w:ilvl w:val="0"/>
          <w:numId w:val="2"/>
        </w:numPr>
        <w:spacing w:after="200"/>
      </w:pPr>
      <w:r>
        <w:t>Patient-facing features: daily/weekly feedback reports, motivational messages, and exportable personal sleep reports to share with clinicians.</w:t>
      </w:r>
    </w:p>
    <w:p w14:paraId="74D913CA" w14:textId="77777777" w:rsidR="00590D19" w:rsidRDefault="00000000">
      <w:pPr>
        <w:pStyle w:val="Heading1"/>
      </w:pPr>
      <w:r>
        <w:t>Study Objectives</w:t>
      </w:r>
    </w:p>
    <w:p w14:paraId="74D913CB" w14:textId="77777777" w:rsidR="00590D19" w:rsidRDefault="00000000">
      <w:pPr>
        <w:spacing w:after="120"/>
      </w:pPr>
      <w:r>
        <w:t>The proposed multi-centre validation programme has the following primary and secondary objectives:</w:t>
      </w:r>
    </w:p>
    <w:p w14:paraId="74D913CC" w14:textId="77777777" w:rsidR="00590D19" w:rsidRDefault="00000000">
      <w:pPr>
        <w:pStyle w:val="Heading3"/>
      </w:pPr>
      <w:r>
        <w:t>Primary Objective</w:t>
      </w:r>
    </w:p>
    <w:p w14:paraId="74D913CD" w14:textId="77777777" w:rsidR="00590D19" w:rsidRDefault="00000000">
      <w:pPr>
        <w:spacing w:after="160"/>
      </w:pPr>
      <w:r>
        <w:t>To evaluate the concurrent validity of the DSD against objective sleep measures (actigraphy as primary; ambulatory PSG in a subset) for key parameters (TST, SE, SOL, WASO) in adults with insomnia symptoms or attending NHS sleep disorder services, using Bland-Altman analysis, intraclass correlation coefficients (ICC), and limits of agreement.</w:t>
      </w:r>
    </w:p>
    <w:p w14:paraId="74D913CE" w14:textId="77777777" w:rsidR="00590D19" w:rsidRDefault="00000000">
      <w:pPr>
        <w:pStyle w:val="Heading3"/>
      </w:pPr>
      <w:r>
        <w:t>Secondary Objectives</w:t>
      </w:r>
    </w:p>
    <w:p w14:paraId="74D913CF" w14:textId="77777777" w:rsidR="00590D19" w:rsidRDefault="00000000">
      <w:pPr>
        <w:pStyle w:val="ListParagraph"/>
        <w:numPr>
          <w:ilvl w:val="0"/>
          <w:numId w:val="3"/>
        </w:numPr>
      </w:pPr>
      <w:r>
        <w:t>Assess test-retest reliability of DSD-derived sleep parameters over a 7–14 day interval in a stable subsample.</w:t>
      </w:r>
    </w:p>
    <w:p w14:paraId="74D913D0" w14:textId="77777777" w:rsidR="00590D19" w:rsidRDefault="00000000">
      <w:pPr>
        <w:pStyle w:val="ListParagraph"/>
        <w:numPr>
          <w:ilvl w:val="0"/>
          <w:numId w:val="3"/>
        </w:numPr>
      </w:pPr>
      <w:r>
        <w:t>Evaluate usability, acceptability, and patient burden using validated instruments (System Usability Scale, custom satisfaction scales) and qualitative interviews/focus groups with patients and clinical/research staff.</w:t>
      </w:r>
    </w:p>
    <w:p w14:paraId="74D913D1" w14:textId="77777777" w:rsidR="00590D19" w:rsidRDefault="00000000">
      <w:pPr>
        <w:pStyle w:val="ListParagraph"/>
        <w:numPr>
          <w:ilvl w:val="0"/>
          <w:numId w:val="3"/>
        </w:numPr>
      </w:pPr>
      <w:r>
        <w:t>Compare compliance rates and data quality (completeness, timeliness) between DSD and traditional paper CSD in a randomised crossover or parallel substudy.</w:t>
      </w:r>
    </w:p>
    <w:p w14:paraId="74D913D2" w14:textId="77777777" w:rsidR="00590D19" w:rsidRDefault="00000000">
      <w:pPr>
        <w:pStyle w:val="ListParagraph"/>
        <w:numPr>
          <w:ilvl w:val="0"/>
          <w:numId w:val="3"/>
        </w:numPr>
      </w:pPr>
      <w:r>
        <w:lastRenderedPageBreak/>
        <w:t>Examine responsiveness of DSD parameters to clinical change in a subset of participants undergoing CBT-I or other sleep interventions.</w:t>
      </w:r>
    </w:p>
    <w:p w14:paraId="74D913D3" w14:textId="77777777" w:rsidR="00590D19" w:rsidRDefault="00000000">
      <w:pPr>
        <w:pStyle w:val="ListParagraph"/>
        <w:numPr>
          <w:ilvl w:val="0"/>
          <w:numId w:val="3"/>
        </w:numPr>
        <w:spacing w:after="200"/>
      </w:pPr>
      <w:r>
        <w:t>Explore integration feasibility within NHS pathways, including data export to electronic records and researcher platforms, and gather stakeholder feedback on implementation barriers/enablers.</w:t>
      </w:r>
    </w:p>
    <w:p w14:paraId="74D913D4" w14:textId="77777777" w:rsidR="00590D19" w:rsidRDefault="00000000">
      <w:pPr>
        <w:pStyle w:val="Heading1"/>
      </w:pPr>
      <w:r>
        <w:t>Proposed Study Design and Methods</w:t>
      </w:r>
    </w:p>
    <w:p w14:paraId="74D913D5" w14:textId="77777777" w:rsidR="00590D19" w:rsidRDefault="00000000">
      <w:pPr>
        <w:spacing w:after="160"/>
      </w:pPr>
      <w:r>
        <w:t>We propose a prospective, multi-centre, observational validation study conducted across 4–6 UK sites (mix of university sleep research groups and NHS Trusts with sleep clinics or mental health services). The design draws on published recommendations for evaluating consumer and clinical sleep-tracking technologies.</w:t>
      </w:r>
    </w:p>
    <w:p w14:paraId="74D913D6" w14:textId="77777777" w:rsidR="00590D19" w:rsidRDefault="00000000">
      <w:pPr>
        <w:pStyle w:val="Heading3"/>
      </w:pPr>
      <w:r>
        <w:t>Participants</w:t>
      </w:r>
    </w:p>
    <w:p w14:paraId="74D913D7" w14:textId="77777777" w:rsidR="00590D19" w:rsidRDefault="00000000">
      <w:pPr>
        <w:spacing w:after="160"/>
      </w:pPr>
      <w:r>
        <w:t>Target: 200–300 adults (18+ years) who meet criteria for insomnia disorder or report significant sleep complaints (e.g., Insomnia Severity Index ≥ 10) and are attending or referred to participating sleep/mental health services. Inclusion of diverse demographics (age, ethnicity, digital literacy, socioeconomic status) will be prioritised to ensure generalisability to NHS populations. Exclusion criteria: shift work, severe psychiatric or neurological comorbidity likely to invalidate diary reporting, or inability to provide informed consent.</w:t>
      </w:r>
    </w:p>
    <w:p w14:paraId="74D913D8" w14:textId="77777777" w:rsidR="00590D19" w:rsidRDefault="00000000">
      <w:pPr>
        <w:pStyle w:val="Heading3"/>
      </w:pPr>
      <w:r>
        <w:t>Procedures</w:t>
      </w:r>
    </w:p>
    <w:p w14:paraId="74D913D9" w14:textId="77777777" w:rsidR="00590D19" w:rsidRDefault="00000000">
      <w:pPr>
        <w:spacing w:after="120"/>
      </w:pPr>
      <w:r>
        <w:t>Participants will complete the DSD daily for 14 consecutive days. A subset (n ≈ 80–100) will wear validated actigraphy devices (e.g., Actiwatch or equivalent research-grade) for the same period. A further nested subset (n ≈ 30–50) will undergo one night of ambulatory home PSG for gold-standard comparison. Parallel or crossover paper diary completion will occur in selected sites. Standard questionnaires (ISI, PSQI, sleep diary-specific usability scales, EQ-5D or similar for health economics) will be administered at baseline and end of monitoring. Qualitative interviews (n ≈ 25–40 patients + staff) will explore lived experience and implementation considerations.</w:t>
      </w:r>
    </w:p>
    <w:p w14:paraId="74D913DA" w14:textId="77777777" w:rsidR="00590D19" w:rsidRDefault="00000000">
      <w:pPr>
        <w:spacing w:after="160"/>
      </w:pPr>
      <w:r>
        <w:t>All procedures will be conducted under a single IRAS ethics application (sponsored by the lead institution) with participating sites providing local R&amp;D confirmation. Data will be pseudonymised and managed in accordance with UK GDPR and NHS data protection standards. The DSD platform will be hosted on secure, compliant infrastructure with full audit trails.</w:t>
      </w:r>
    </w:p>
    <w:p w14:paraId="74D913DB" w14:textId="77777777" w:rsidR="00590D19" w:rsidRDefault="00000000">
      <w:pPr>
        <w:pStyle w:val="Heading3"/>
      </w:pPr>
      <w:r>
        <w:t>Analysis Plan</w:t>
      </w:r>
    </w:p>
    <w:p w14:paraId="74D913DC" w14:textId="77777777" w:rsidR="00590D19" w:rsidRDefault="00000000">
      <w:pPr>
        <w:spacing w:after="200"/>
      </w:pPr>
      <w:r>
        <w:t>Primary analysis will follow established frameworks for sleep measurement validation: descriptive statistics, Pearson/Spearman correlations, Bland-Altman plots with bias and 95% limits of agreement (adjusted for repeated measures where appropriate), and ICCs for absolute agreement. Sensitivity analyses will explore subgroups (age, sex, insomnia severity, digital literacy). Qualitative data will be analysed thematically. A detailed statistical analysis plan will be developed collaboratively and pre-registered.</w:t>
      </w:r>
    </w:p>
    <w:p w14:paraId="74D913DD" w14:textId="77777777" w:rsidR="00590D19" w:rsidRDefault="00000000">
      <w:pPr>
        <w:pStyle w:val="Heading1"/>
      </w:pPr>
      <w:r>
        <w:t>Collaboration Model and Benefits to Partners</w:t>
      </w:r>
    </w:p>
    <w:p w14:paraId="74D913DE" w14:textId="77777777" w:rsidR="00590D19" w:rsidRDefault="00000000">
      <w:pPr>
        <w:spacing w:after="160"/>
      </w:pPr>
      <w:r>
        <w:t>We envision a true partnership model rather than a simple data collection exercise. The lead team (developers and academic sponsors) will provide:</w:t>
      </w:r>
    </w:p>
    <w:p w14:paraId="74D913DF" w14:textId="77777777" w:rsidR="00590D19" w:rsidRDefault="00000000">
      <w:pPr>
        <w:pStyle w:val="ListParagraph"/>
        <w:numPr>
          <w:ilvl w:val="0"/>
          <w:numId w:val="4"/>
        </w:numPr>
      </w:pPr>
      <w:r>
        <w:t>Full access to the DSD platform (hosted, supported, compliant) at zero cost for the duration of data collection plus 12 months for analysis and publication.</w:t>
      </w:r>
    </w:p>
    <w:p w14:paraId="74D913E0" w14:textId="77777777" w:rsidR="00590D19" w:rsidRDefault="00000000">
      <w:pPr>
        <w:pStyle w:val="ListParagraph"/>
        <w:numPr>
          <w:ilvl w:val="0"/>
          <w:numId w:val="4"/>
        </w:numPr>
      </w:pPr>
      <w:r>
        <w:t>Central coordination, centralised database, statistical analysis support, and assistance with IRAS/ethics documentation.</w:t>
      </w:r>
    </w:p>
    <w:p w14:paraId="74D913E1" w14:textId="77777777" w:rsidR="00590D19" w:rsidRDefault="00000000">
      <w:pPr>
        <w:pStyle w:val="ListParagraph"/>
        <w:numPr>
          <w:ilvl w:val="0"/>
          <w:numId w:val="4"/>
        </w:numPr>
      </w:pPr>
      <w:r>
        <w:t>Training (remote or on-site) for research staff and clinicians on platform use and data interpretation.</w:t>
      </w:r>
    </w:p>
    <w:p w14:paraId="74D913E2" w14:textId="77777777" w:rsidR="00590D19" w:rsidRDefault="00000000">
      <w:pPr>
        <w:pStyle w:val="ListParagraph"/>
        <w:numPr>
          <w:ilvl w:val="0"/>
          <w:numId w:val="4"/>
        </w:numPr>
      </w:pPr>
      <w:r>
        <w:t>Co-authorship opportunities on primary validation papers and secondary analyses (authorship order based on contribution per ICMJE guidelines).</w:t>
      </w:r>
    </w:p>
    <w:p w14:paraId="74D913E3" w14:textId="77777777" w:rsidR="00590D19" w:rsidRDefault="00000000">
      <w:pPr>
        <w:pStyle w:val="ListParagraph"/>
        <w:numPr>
          <w:ilvl w:val="0"/>
          <w:numId w:val="4"/>
        </w:numPr>
      </w:pPr>
      <w:r>
        <w:lastRenderedPageBreak/>
        <w:t>Input into future feature development and roadmap (e.g., NHS EPR integration, additional languages, paediatric module).</w:t>
      </w:r>
    </w:p>
    <w:p w14:paraId="74D913E4" w14:textId="77777777" w:rsidR="00590D19" w:rsidRDefault="00000000">
      <w:pPr>
        <w:pStyle w:val="ListParagraph"/>
        <w:numPr>
          <w:ilvl w:val="0"/>
          <w:numId w:val="4"/>
        </w:numPr>
        <w:spacing w:after="200"/>
      </w:pPr>
      <w:r>
        <w:t>Preferred commercial licensing terms (significant discounts or royalty-free periods) for participating institutions wishing to adopt the DSD for ongoing research or clinical services after validation.</w:t>
      </w:r>
    </w:p>
    <w:p w14:paraId="74D913E5" w14:textId="77777777" w:rsidR="00590D19" w:rsidRDefault="00000000">
      <w:pPr>
        <w:spacing w:after="200"/>
      </w:pPr>
      <w:r>
        <w:t>In return, partner sites will lead or support local recruitment, obtain local approvals, oversee data collection according to the protocol, contribute to interpretation and manuscript preparation, and (where appropriate) provide clinical or methodological expertise. We are open to sites proposing additional substudies or outcome measures that align with the core validation aims.</w:t>
      </w:r>
    </w:p>
    <w:p w14:paraId="74D913E6" w14:textId="77777777" w:rsidR="00590D19" w:rsidRDefault="00000000">
      <w:pPr>
        <w:pStyle w:val="Heading1"/>
      </w:pPr>
      <w:r>
        <w:t>Indicative Timeline and Next Steps</w:t>
      </w:r>
    </w:p>
    <w:p w14:paraId="74D913E7" w14:textId="77777777" w:rsidR="00590D19" w:rsidRDefault="00000000">
      <w:pPr>
        <w:spacing w:after="160"/>
      </w:pPr>
      <w:r>
        <w:t>We aim to commence the main validation study in Q1 2027, subject to ethics approval and site setup. An indicative high-level timeline 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590D19" w14:paraId="74D913EA" w14:textId="77777777">
        <w:tblPrEx>
          <w:tblCellMar>
            <w:top w:w="0" w:type="dxa"/>
            <w:bottom w:w="0" w:type="dxa"/>
          </w:tblCellMar>
        </w:tblPrEx>
        <w:tc>
          <w:tcPr>
            <w:tcW w:w="2400" w:type="dxa"/>
            <w:tcBorders>
              <w:top w:val="single" w:sz="1" w:space="0" w:color="005EB8"/>
              <w:left w:val="single" w:sz="1" w:space="0" w:color="005EB8"/>
              <w:bottom w:val="single" w:sz="1" w:space="0" w:color="005EB8"/>
              <w:right w:val="single" w:sz="1" w:space="0" w:color="005EB8"/>
            </w:tcBorders>
            <w:shd w:val="clear" w:color="auto" w:fill="005EB8"/>
            <w:tcMar>
              <w:top w:w="60" w:type="dxa"/>
              <w:left w:w="100" w:type="dxa"/>
              <w:bottom w:w="60" w:type="dxa"/>
              <w:right w:w="100" w:type="dxa"/>
            </w:tcMar>
          </w:tcPr>
          <w:p w14:paraId="74D913E8" w14:textId="77777777" w:rsidR="00590D19" w:rsidRDefault="00000000">
            <w:pPr>
              <w:jc w:val="center"/>
            </w:pPr>
            <w:r>
              <w:rPr>
                <w:b/>
                <w:bCs/>
                <w:color w:val="FFFFFF"/>
                <w:sz w:val="20"/>
                <w:szCs w:val="20"/>
              </w:rPr>
              <w:t>Phase</w:t>
            </w:r>
          </w:p>
        </w:tc>
        <w:tc>
          <w:tcPr>
            <w:tcW w:w="7238" w:type="dxa"/>
            <w:tcBorders>
              <w:top w:val="single" w:sz="1" w:space="0" w:color="005EB8"/>
              <w:left w:val="single" w:sz="1" w:space="0" w:color="005EB8"/>
              <w:bottom w:val="single" w:sz="1" w:space="0" w:color="005EB8"/>
              <w:right w:val="single" w:sz="1" w:space="0" w:color="005EB8"/>
            </w:tcBorders>
            <w:shd w:val="clear" w:color="auto" w:fill="005EB8"/>
            <w:tcMar>
              <w:top w:w="60" w:type="dxa"/>
              <w:left w:w="100" w:type="dxa"/>
              <w:bottom w:w="60" w:type="dxa"/>
              <w:right w:w="100" w:type="dxa"/>
            </w:tcMar>
          </w:tcPr>
          <w:p w14:paraId="74D913E9" w14:textId="77777777" w:rsidR="00590D19" w:rsidRDefault="00000000">
            <w:pPr>
              <w:jc w:val="center"/>
            </w:pPr>
            <w:r>
              <w:rPr>
                <w:b/>
                <w:bCs/>
                <w:color w:val="FFFFFF"/>
                <w:sz w:val="20"/>
                <w:szCs w:val="20"/>
              </w:rPr>
              <w:t>Activities and Milestones</w:t>
            </w:r>
          </w:p>
        </w:tc>
      </w:tr>
      <w:tr w:rsidR="00590D19" w14:paraId="74D913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913EB" w14:textId="77777777" w:rsidR="00590D19" w:rsidRDefault="00000000">
            <w:r>
              <w:rPr>
                <w:color w:val="333333"/>
                <w:sz w:val="20"/>
                <w:szCs w:val="20"/>
              </w:rPr>
              <w:t>Q3–Q4 2026</w:t>
            </w:r>
          </w:p>
        </w:tc>
        <w:tc>
          <w:tcPr>
            <w:tcW w:w="7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913EC" w14:textId="77777777" w:rsidR="00590D19" w:rsidRDefault="00000000">
            <w:r>
              <w:rPr>
                <w:color w:val="333333"/>
                <w:sz w:val="20"/>
                <w:szCs w:val="20"/>
              </w:rPr>
              <w:t>Finalise protocol &amp; SAP; submit IRAS application; identify and engage partner sites; refine platform based on pilot feedback</w:t>
            </w:r>
          </w:p>
        </w:tc>
      </w:tr>
      <w:tr w:rsidR="00590D19" w14:paraId="74D913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913EE" w14:textId="77777777" w:rsidR="00590D19" w:rsidRDefault="00000000">
            <w:r>
              <w:rPr>
                <w:color w:val="333333"/>
                <w:sz w:val="20"/>
                <w:szCs w:val="20"/>
              </w:rPr>
              <w:t>Q1 2027</w:t>
            </w:r>
          </w:p>
        </w:tc>
        <w:tc>
          <w:tcPr>
            <w:tcW w:w="7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913EF" w14:textId="77777777" w:rsidR="00590D19" w:rsidRDefault="00000000">
            <w:r>
              <w:rPr>
                <w:color w:val="333333"/>
                <w:sz w:val="20"/>
                <w:szCs w:val="20"/>
              </w:rPr>
              <w:t>Ethics approval; site initiation visits/training; begin recruitment at lead site</w:t>
            </w:r>
          </w:p>
        </w:tc>
      </w:tr>
      <w:tr w:rsidR="00590D19" w14:paraId="74D913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913F1" w14:textId="77777777" w:rsidR="00590D19" w:rsidRDefault="00000000">
            <w:r>
              <w:rPr>
                <w:color w:val="333333"/>
                <w:sz w:val="20"/>
                <w:szCs w:val="20"/>
              </w:rPr>
              <w:t>Q2–Q3 2027</w:t>
            </w:r>
          </w:p>
        </w:tc>
        <w:tc>
          <w:tcPr>
            <w:tcW w:w="7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913F2" w14:textId="77777777" w:rsidR="00590D19" w:rsidRDefault="00000000">
            <w:r>
              <w:rPr>
                <w:color w:val="333333"/>
                <w:sz w:val="20"/>
                <w:szCs w:val="20"/>
              </w:rPr>
              <w:t>Multi-site recruitment and data collection (target 200+ completers); ongoing compliance monitoring</w:t>
            </w:r>
          </w:p>
        </w:tc>
      </w:tr>
      <w:tr w:rsidR="00590D19" w14:paraId="74D913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913F4" w14:textId="77777777" w:rsidR="00590D19" w:rsidRDefault="00000000">
            <w:r>
              <w:rPr>
                <w:color w:val="333333"/>
                <w:sz w:val="20"/>
                <w:szCs w:val="20"/>
              </w:rPr>
              <w:t>Q4 2027</w:t>
            </w:r>
          </w:p>
        </w:tc>
        <w:tc>
          <w:tcPr>
            <w:tcW w:w="7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913F5" w14:textId="77777777" w:rsidR="00590D19" w:rsidRDefault="00000000">
            <w:r>
              <w:rPr>
                <w:color w:val="333333"/>
                <w:sz w:val="20"/>
                <w:szCs w:val="20"/>
              </w:rPr>
              <w:t>Data cleaning, primary analysis, qualitative analysis; draft primary manuscript</w:t>
            </w:r>
          </w:p>
        </w:tc>
      </w:tr>
      <w:tr w:rsidR="00590D19" w14:paraId="74D913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913F7" w14:textId="77777777" w:rsidR="00590D19" w:rsidRDefault="00000000">
            <w:r>
              <w:rPr>
                <w:color w:val="333333"/>
                <w:sz w:val="20"/>
                <w:szCs w:val="20"/>
              </w:rPr>
              <w:t>Q1 2028</w:t>
            </w:r>
          </w:p>
        </w:tc>
        <w:tc>
          <w:tcPr>
            <w:tcW w:w="7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913F8" w14:textId="77777777" w:rsidR="00590D19" w:rsidRDefault="00000000">
            <w:r>
              <w:rPr>
                <w:color w:val="333333"/>
                <w:sz w:val="20"/>
                <w:szCs w:val="20"/>
              </w:rPr>
              <w:t>Submit primary validation paper(s); disseminate findings at conferences (e.g., SLEEP, BSS); begin discussions on implementation and licensing with partners</w:t>
            </w:r>
          </w:p>
        </w:tc>
      </w:tr>
    </w:tbl>
    <w:p w14:paraId="74D913FA" w14:textId="77777777" w:rsidR="00590D19" w:rsidRDefault="00000000">
      <w:pPr>
        <w:spacing w:before="300" w:after="200"/>
      </w:pPr>
      <w:r>
        <w:t>Next Steps: If your institution is interested in exploring partnership, we would welcome an initial discussion (virtual or in-person) to understand your research priorities, patient population, and capacity. We can then share the full draft protocol, sample size justification, and draft data sharing / collaboration agreement templates. Please contact the team at validation@digitalsleepdiary.example to arrange a call.</w:t>
      </w:r>
    </w:p>
    <w:p w14:paraId="74D913FB" w14:textId="77777777" w:rsidR="00590D19" w:rsidRDefault="00000000">
      <w:pPr>
        <w:pStyle w:val="Heading1"/>
      </w:pPr>
      <w:r>
        <w:t>Suggested Commercial Licensing Model</w:t>
      </w:r>
    </w:p>
    <w:p w14:paraId="74D913FC" w14:textId="77777777" w:rsidR="00590D19" w:rsidRDefault="00000000">
      <w:pPr>
        <w:spacing w:after="160"/>
      </w:pPr>
      <w:r>
        <w:t>To ensure the long-term sustainability, security, and continuous improvement of the DSD platform (including NHS DSPT compliance maintenance, security patching, feature development, user support, and hosting), we propose a dual-access model aligned with the spirit of the original Consensus Sleep Diary:</w:t>
      </w:r>
    </w:p>
    <w:p w14:paraId="74D913FD" w14:textId="77777777" w:rsidR="00590D19" w:rsidRDefault="00000000">
      <w:pPr>
        <w:spacing w:after="160"/>
      </w:pPr>
      <w:r>
        <w:t>Free / nominal-cost access for not-for-profit academic research, NHS clinical services, and charitable use (with appropriate attribution and no modification of core items). This mirrors the CSD approach and removes financial barriers to high-quality sleep data collection across the UK research community.</w:t>
      </w:r>
    </w:p>
    <w:p w14:paraId="74D913FE" w14:textId="77777777" w:rsidR="00590D19" w:rsidRDefault="00000000">
      <w:pPr>
        <w:spacing w:after="160"/>
      </w:pPr>
      <w:r>
        <w:t>Commercial licensing for industry-sponsored trials, pharmaceutical companies, digital therapeutics developers, private healthcare providers, or any for-profit entity embedding or reselling the tool. Revenue from commercial licences will directly fund platform maintenance, regulatory activities (e.g., potential future SaMD classification support), and further open research.</w:t>
      </w:r>
    </w:p>
    <w:p w14:paraId="74D913FF" w14:textId="77777777" w:rsidR="00590D19" w:rsidRDefault="00000000">
      <w:pPr>
        <w:pStyle w:val="Heading3"/>
      </w:pPr>
      <w:r>
        <w:t>Recommended Commercial Licence Fees (indicative, ex. VAT)</w:t>
      </w:r>
    </w:p>
    <w:p w14:paraId="74D91400" w14:textId="77777777" w:rsidR="00590D19" w:rsidRDefault="00000000">
      <w:pPr>
        <w:spacing w:after="120"/>
      </w:pPr>
      <w:r>
        <w:t>We suggest the following tiered annual subscription model, which is competitive with other research ePRO and digital diary platforms while remaining accessible: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38"/>
      </w:tblGrid>
      <w:tr w:rsidR="00590D19" w14:paraId="74D91404" w14:textId="77777777">
        <w:tblPrEx>
          <w:tblCellMar>
            <w:top w:w="0" w:type="dxa"/>
            <w:bottom w:w="0" w:type="dxa"/>
          </w:tblCellMar>
        </w:tblPrEx>
        <w:tc>
          <w:tcPr>
            <w:tcW w:w="3200" w:type="dxa"/>
            <w:tcBorders>
              <w:top w:val="single" w:sz="1" w:space="0" w:color="005EB8"/>
              <w:left w:val="single" w:sz="1" w:space="0" w:color="005EB8"/>
              <w:bottom w:val="single" w:sz="1" w:space="0" w:color="005EB8"/>
              <w:right w:val="single" w:sz="1" w:space="0" w:color="005EB8"/>
            </w:tcBorders>
            <w:shd w:val="clear" w:color="auto" w:fill="005EB8"/>
            <w:tcMar>
              <w:top w:w="60" w:type="dxa"/>
              <w:left w:w="100" w:type="dxa"/>
              <w:bottom w:w="60" w:type="dxa"/>
              <w:right w:w="100" w:type="dxa"/>
            </w:tcMar>
          </w:tcPr>
          <w:p w14:paraId="74D91401" w14:textId="77777777" w:rsidR="00590D19" w:rsidRDefault="00000000">
            <w:pPr>
              <w:jc w:val="center"/>
            </w:pPr>
            <w:r>
              <w:rPr>
                <w:b/>
                <w:bCs/>
                <w:color w:val="FFFFFF"/>
                <w:sz w:val="20"/>
                <w:szCs w:val="20"/>
              </w:rPr>
              <w:t>Tier / Use Case</w:t>
            </w:r>
          </w:p>
        </w:tc>
        <w:tc>
          <w:tcPr>
            <w:tcW w:w="3200" w:type="dxa"/>
            <w:tcBorders>
              <w:top w:val="single" w:sz="1" w:space="0" w:color="005EB8"/>
              <w:left w:val="single" w:sz="1" w:space="0" w:color="005EB8"/>
              <w:bottom w:val="single" w:sz="1" w:space="0" w:color="005EB8"/>
              <w:right w:val="single" w:sz="1" w:space="0" w:color="005EB8"/>
            </w:tcBorders>
            <w:shd w:val="clear" w:color="auto" w:fill="005EB8"/>
            <w:tcMar>
              <w:top w:w="60" w:type="dxa"/>
              <w:left w:w="100" w:type="dxa"/>
              <w:bottom w:w="60" w:type="dxa"/>
              <w:right w:w="100" w:type="dxa"/>
            </w:tcMar>
          </w:tcPr>
          <w:p w14:paraId="74D91402" w14:textId="77777777" w:rsidR="00590D19" w:rsidRDefault="00000000">
            <w:pPr>
              <w:jc w:val="center"/>
            </w:pPr>
            <w:r>
              <w:rPr>
                <w:b/>
                <w:bCs/>
                <w:color w:val="FFFFFF"/>
                <w:sz w:val="20"/>
                <w:szCs w:val="20"/>
              </w:rPr>
              <w:t>Annual Fee (ex. VAT)</w:t>
            </w:r>
          </w:p>
        </w:tc>
        <w:tc>
          <w:tcPr>
            <w:tcW w:w="3238" w:type="dxa"/>
            <w:tcBorders>
              <w:top w:val="single" w:sz="1" w:space="0" w:color="005EB8"/>
              <w:left w:val="single" w:sz="1" w:space="0" w:color="005EB8"/>
              <w:bottom w:val="single" w:sz="1" w:space="0" w:color="005EB8"/>
              <w:right w:val="single" w:sz="1" w:space="0" w:color="005EB8"/>
            </w:tcBorders>
            <w:shd w:val="clear" w:color="auto" w:fill="005EB8"/>
            <w:tcMar>
              <w:top w:w="60" w:type="dxa"/>
              <w:left w:w="100" w:type="dxa"/>
              <w:bottom w:w="60" w:type="dxa"/>
              <w:right w:w="100" w:type="dxa"/>
            </w:tcMar>
          </w:tcPr>
          <w:p w14:paraId="74D91403" w14:textId="77777777" w:rsidR="00590D19" w:rsidRDefault="00000000">
            <w:pPr>
              <w:jc w:val="center"/>
            </w:pPr>
            <w:r>
              <w:rPr>
                <w:b/>
                <w:bCs/>
                <w:color w:val="FFFFFF"/>
                <w:sz w:val="20"/>
                <w:szCs w:val="20"/>
              </w:rPr>
              <w:t>Includes</w:t>
            </w:r>
          </w:p>
        </w:tc>
      </w:tr>
      <w:tr w:rsidR="00590D19" w14:paraId="74D914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91405" w14:textId="77777777" w:rsidR="00590D19" w:rsidRDefault="00000000">
            <w:r>
              <w:rPr>
                <w:color w:val="333333"/>
                <w:sz w:val="20"/>
                <w:szCs w:val="20"/>
              </w:rPr>
              <w:lastRenderedPageBreak/>
              <w:t>Small Institution / Department (&lt;500 patients or users/year)</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91406" w14:textId="77777777" w:rsidR="00590D19" w:rsidRDefault="00000000">
            <w:pPr>
              <w:jc w:val="center"/>
            </w:pPr>
            <w:r>
              <w:rPr>
                <w:color w:val="333333"/>
                <w:sz w:val="20"/>
                <w:szCs w:val="20"/>
              </w:rPr>
              <w:t>£3,500 – £5,000</w:t>
            </w:r>
          </w:p>
        </w:tc>
        <w:tc>
          <w:tcPr>
            <w:tcW w:w="3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91407" w14:textId="77777777" w:rsidR="00590D19" w:rsidRDefault="00000000">
            <w:r>
              <w:rPr>
                <w:color w:val="333333"/>
                <w:sz w:val="20"/>
                <w:szCs w:val="20"/>
              </w:rPr>
              <w:t>Unlimited studies, basic API/export, standard SLA (email support, 99% uptime), compliance docs</w:t>
            </w:r>
          </w:p>
        </w:tc>
      </w:tr>
      <w:tr w:rsidR="00590D19" w14:paraId="74D914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91409" w14:textId="77777777" w:rsidR="00590D19" w:rsidRDefault="00000000">
            <w:r>
              <w:rPr>
                <w:color w:val="333333"/>
                <w:sz w:val="20"/>
                <w:szCs w:val="20"/>
              </w:rPr>
              <w:t>NHS Trust-wide or Medium University (500–2,000 users/year)</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9140A" w14:textId="77777777" w:rsidR="00590D19" w:rsidRDefault="00000000">
            <w:pPr>
              <w:jc w:val="center"/>
            </w:pPr>
            <w:r>
              <w:rPr>
                <w:color w:val="333333"/>
                <w:sz w:val="20"/>
                <w:szCs w:val="20"/>
              </w:rPr>
              <w:t>£8,000 – £12,000</w:t>
            </w:r>
          </w:p>
        </w:tc>
        <w:tc>
          <w:tcPr>
            <w:tcW w:w="3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9140B" w14:textId="77777777" w:rsidR="00590D19" w:rsidRDefault="00000000">
            <w:r>
              <w:rPr>
                <w:color w:val="333333"/>
                <w:sz w:val="20"/>
                <w:szCs w:val="20"/>
              </w:rPr>
              <w:t>Enhanced support, priority feature requests, custom exports, training webinars, dedicated account contact</w:t>
            </w:r>
          </w:p>
        </w:tc>
      </w:tr>
      <w:tr w:rsidR="00590D19" w14:paraId="74D914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9140D" w14:textId="77777777" w:rsidR="00590D19" w:rsidRDefault="00000000">
            <w:r>
              <w:rPr>
                <w:color w:val="333333"/>
                <w:sz w:val="20"/>
                <w:szCs w:val="20"/>
              </w:rPr>
              <w:t>Enterprise / Large-scale or Pharma (&gt;2,000 users or complex integration)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9140E" w14:textId="77777777" w:rsidR="00590D19" w:rsidRDefault="00000000">
            <w:pPr>
              <w:jc w:val="center"/>
            </w:pPr>
            <w:r>
              <w:rPr>
                <w:color w:val="333333"/>
                <w:sz w:val="20"/>
                <w:szCs w:val="20"/>
              </w:rPr>
              <w:t>£15,000 – £25,000+</w:t>
            </w:r>
          </w:p>
        </w:tc>
        <w:tc>
          <w:tcPr>
            <w:tcW w:w="3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9140F" w14:textId="77777777" w:rsidR="00590D19" w:rsidRDefault="00000000">
            <w:r>
              <w:rPr>
                <w:color w:val="333333"/>
                <w:sz w:val="20"/>
                <w:szCs w:val="20"/>
              </w:rPr>
              <w:t>White-label options, advanced analytics dashboard, on-premise/hosting choice, API development support, SLAs with penalties, co-development input</w:t>
            </w:r>
          </w:p>
        </w:tc>
      </w:tr>
      <w:tr w:rsidR="00590D19" w14:paraId="74D9141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91411" w14:textId="77777777" w:rsidR="00590D19" w:rsidRDefault="00000000">
            <w:r>
              <w:rPr>
                <w:color w:val="333333"/>
                <w:sz w:val="20"/>
                <w:szCs w:val="20"/>
              </w:rPr>
              <w:t>Usage-based Alternative (Per-patient / per-protocol)</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91412" w14:textId="77777777" w:rsidR="00590D19" w:rsidRDefault="00000000">
            <w:pPr>
              <w:jc w:val="center"/>
            </w:pPr>
            <w:r>
              <w:rPr>
                <w:color w:val="333333"/>
                <w:sz w:val="20"/>
                <w:szCs w:val="20"/>
              </w:rPr>
              <w:t>£12 – £25 per completed 7–14 day diary protocol</w:t>
            </w:r>
          </w:p>
        </w:tc>
        <w:tc>
          <w:tcPr>
            <w:tcW w:w="3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91413" w14:textId="77777777" w:rsidR="00590D19" w:rsidRDefault="00000000">
            <w:r>
              <w:rPr>
                <w:color w:val="333333"/>
                <w:sz w:val="20"/>
                <w:szCs w:val="20"/>
              </w:rPr>
              <w:t>Ideal for variable-volume trials; all features + secure long-term archive + export</w:t>
            </w:r>
          </w:p>
        </w:tc>
      </w:tr>
    </w:tbl>
    <w:p w14:paraId="74D91415" w14:textId="77777777" w:rsidR="00590D19" w:rsidRDefault="00000000">
      <w:pPr>
        <w:spacing w:before="200" w:after="160"/>
      </w:pPr>
      <w:r>
        <w:t>Special terms for validation partners: 50% discount on the above commercial rates for the first three years of any post-validation deployment, or up to five years of royalty-free use for non-commercial research conducted by the partner institution. One-time perpetual licence options (with 18–20% annual maintenance) are available for high-volume or long-term users upon request.</w:t>
      </w:r>
    </w:p>
    <w:p w14:paraId="74D91416" w14:textId="77777777" w:rsidR="00590D19" w:rsidRDefault="00000000">
      <w:pPr>
        <w:spacing w:after="200"/>
      </w:pPr>
      <w:r>
        <w:t>This pricing positions the DSD as an affordable, high-value tool that encourages widespread adoption and standardisation while generating the resources needed for ongoing compliance, security, and innovation. It is broadly comparable to other specialist research platforms (e.g., tiered ePRO solutions at £9k–£38k p.a.) and significantly more cost-effective than full digital therapeutics programmes (e.g., £70 per user per year for comprehensive CBT-I apps).</w:t>
      </w:r>
    </w:p>
    <w:p w14:paraId="74D91417" w14:textId="77777777" w:rsidR="00590D19" w:rsidRDefault="00000000">
      <w:pPr>
        <w:pStyle w:val="Heading1"/>
      </w:pPr>
      <w:r>
        <w:t>Conclusion and Call to Action</w:t>
      </w:r>
    </w:p>
    <w:p w14:paraId="74D91418" w14:textId="77777777" w:rsidR="00590D19" w:rsidRDefault="00000000">
      <w:pPr>
        <w:spacing w:after="200"/>
      </w:pPr>
      <w:r>
        <w:t>Robust, multi-centre validation in real NHS and academic settings is essential to realise the full potential of digital sleep diaries as a standardised, scalable, and trustworthy method for sleep assessment. By partnering with us, your institution can play a leading role in shaping the future evidence base, gain early access to a powerful research tool, and position yourselves at the forefront of digital sleep and mental health research in the UK.</w:t>
      </w:r>
    </w:p>
    <w:p w14:paraId="74D91419" w14:textId="77777777" w:rsidR="00590D19" w:rsidRDefault="00000000">
      <w:pPr>
        <w:spacing w:after="200"/>
      </w:pPr>
      <w:r>
        <w:t>We are flexible and eager to tailor the collaboration to your specific interests, capacity, and strategic goals. We look forward to hearing from interested universities and NHS Trusts and to building productive, long-term partnerships that advance sleep science and improve patient care.</w:t>
      </w:r>
    </w:p>
    <w:p w14:paraId="74D9141D" w14:textId="77777777" w:rsidR="00590D19" w:rsidRDefault="00000000">
      <w:pPr>
        <w:pStyle w:val="Heading1"/>
      </w:pPr>
      <w:r>
        <w:t>Key References (selected)</w:t>
      </w:r>
    </w:p>
    <w:p w14:paraId="74D9141E" w14:textId="77777777" w:rsidR="00590D19" w:rsidRDefault="00000000">
      <w:pPr>
        <w:spacing w:after="80"/>
      </w:pPr>
      <w:r>
        <w:rPr>
          <w:sz w:val="18"/>
          <w:szCs w:val="18"/>
        </w:rPr>
        <w:t>1. Carney CE, Buysse DJ, Ancoli-Israel S, et al. The consensus sleep diary: standardizing prospective sleep self-monitoring. Sleep. 2012;35(2):287-302.</w:t>
      </w:r>
    </w:p>
    <w:p w14:paraId="74D9141F" w14:textId="77777777" w:rsidR="00590D19" w:rsidRDefault="00000000">
      <w:pPr>
        <w:spacing w:after="80"/>
      </w:pPr>
      <w:r>
        <w:rPr>
          <w:sz w:val="18"/>
          <w:szCs w:val="18"/>
        </w:rPr>
        <w:t>2. Maich KHG, Lachowski AM, Carney CE. Psychometric properties of the Consensus Sleep Diary in those with insomnia disorder. Behav Sleep Med. 2018;16(2):117-134.</w:t>
      </w:r>
    </w:p>
    <w:p w14:paraId="74D91420" w14:textId="77777777" w:rsidR="00590D19" w:rsidRDefault="00000000">
      <w:pPr>
        <w:spacing w:after="80"/>
      </w:pPr>
      <w:r>
        <w:rPr>
          <w:sz w:val="18"/>
          <w:szCs w:val="18"/>
        </w:rPr>
        <w:t>3. Menghini L, et al. A standardized framework for testing the performance of sleep-tracking technology: Step-by-step guidelines and open-source code. (2021).</w:t>
      </w:r>
    </w:p>
    <w:p w14:paraId="74D91421" w14:textId="77777777" w:rsidR="00590D19" w:rsidRDefault="00000000">
      <w:pPr>
        <w:spacing w:after="80"/>
      </w:pPr>
      <w:r>
        <w:rPr>
          <w:sz w:val="18"/>
          <w:szCs w:val="18"/>
        </w:rPr>
        <w:t>4. Lewin D, et al. A novel voice interactive sleep log: concurrent validity with actigraphy and sleep diaries. J Clin Sleep Med. 2024.</w:t>
      </w:r>
    </w:p>
    <w:p w14:paraId="74D91422" w14:textId="77777777" w:rsidR="00590D19" w:rsidRDefault="00000000">
      <w:pPr>
        <w:spacing w:after="80"/>
      </w:pPr>
      <w:r>
        <w:rPr>
          <w:sz w:val="18"/>
          <w:szCs w:val="18"/>
        </w:rPr>
        <w:t>5. de Zambotti M, et al. Recommendations for the evaluation of consumer sleep-tracking devices. (Various publications on CST validation frameworks).</w:t>
      </w:r>
    </w:p>
    <w:p w14:paraId="74D91423" w14:textId="77777777" w:rsidR="00590D19" w:rsidRDefault="00000000">
      <w:pPr>
        <w:spacing w:after="80"/>
      </w:pPr>
      <w:r>
        <w:rPr>
          <w:sz w:val="18"/>
          <w:szCs w:val="18"/>
        </w:rPr>
        <w:t>6. Additional recent studies on digital sleep diary integration with sensors and validation against PSG/actigraphy (2022–2026 literature).</w:t>
      </w:r>
    </w:p>
    <w:p w14:paraId="74D91424" w14:textId="77777777" w:rsidR="00590D19" w:rsidRDefault="00000000">
      <w:pPr>
        <w:spacing w:after="200"/>
      </w:pPr>
      <w:r>
        <w:rPr>
          <w:i/>
          <w:iCs/>
          <w:sz w:val="18"/>
          <w:szCs w:val="18"/>
        </w:rPr>
        <w:t>Full reference list and PDFs available upon request. The DSD platform builds directly upon the CSD framework while addressing digital-era requirements for data integrity, scalability, and NHS interoperability.</w:t>
      </w:r>
    </w:p>
    <w:p w14:paraId="74D91425" w14:textId="77777777" w:rsidR="00590D19" w:rsidRDefault="00000000">
      <w:pPr>
        <w:spacing w:before="200"/>
        <w:jc w:val="center"/>
      </w:pPr>
      <w:r>
        <w:rPr>
          <w:i/>
          <w:iCs/>
          <w:color w:val="666666"/>
          <w:sz w:val="16"/>
          <w:szCs w:val="16"/>
        </w:rPr>
        <w:lastRenderedPageBreak/>
        <w:t>This document is intended for discussion purposes and does not constitute a formal offer or contract. All details, including study design, timelines, and licensing terms, are indicative and subject to negotiation and final agreement.</w:t>
      </w:r>
    </w:p>
    <w:sectPr w:rsidR="00590D19">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54793" w14:textId="77777777" w:rsidR="00660CF9" w:rsidRDefault="00660CF9">
      <w:r>
        <w:separator/>
      </w:r>
    </w:p>
  </w:endnote>
  <w:endnote w:type="continuationSeparator" w:id="0">
    <w:p w14:paraId="2706230F" w14:textId="77777777" w:rsidR="00660CF9" w:rsidRDefault="00660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91427" w14:textId="70F224EE" w:rsidR="00590D19" w:rsidRDefault="00000000">
    <w:pPr>
      <w:pBdr>
        <w:top w:val="single" w:sz="6" w:space="4" w:color="005EB8"/>
      </w:pBd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1350A2">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1350A2">
      <w:rPr>
        <w:noProof/>
        <w:sz w:val="18"/>
        <w:szCs w:val="18"/>
      </w:rPr>
      <w:t>2</w:t>
    </w:r>
    <w:r>
      <w:rPr>
        <w:sz w:val="18"/>
        <w:szCs w:val="18"/>
      </w:rPr>
      <w:fldChar w:fldCharType="end"/>
    </w:r>
    <w:r>
      <w:rPr>
        <w:color w:val="666666"/>
        <w:sz w:val="16"/>
        <w:szCs w:val="16"/>
      </w:rPr>
      <w:t xml:space="preserve">   |   Contact: validation@digitalsleepdiary.example  |   www.digitalsleepdiary-validation.example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19858" w14:textId="77777777" w:rsidR="00660CF9" w:rsidRDefault="00660CF9">
      <w:r>
        <w:separator/>
      </w:r>
    </w:p>
  </w:footnote>
  <w:footnote w:type="continuationSeparator" w:id="0">
    <w:p w14:paraId="72561169" w14:textId="77777777" w:rsidR="00660CF9" w:rsidRDefault="00660C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91426" w14:textId="77777777" w:rsidR="00590D19" w:rsidRDefault="00000000">
    <w:pPr>
      <w:jc w:val="right"/>
    </w:pPr>
    <w:r>
      <w:rPr>
        <w:i/>
        <w:iCs/>
        <w:color w:val="666666"/>
        <w:sz w:val="18"/>
        <w:szCs w:val="18"/>
      </w:rPr>
      <w:t>Digital Sleep Diary Validation Collaboration Proposal  |  July 2026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777D2"/>
    <w:multiLevelType w:val="hybridMultilevel"/>
    <w:tmpl w:val="0464F088"/>
    <w:lvl w:ilvl="0" w:tplc="12F80506">
      <w:start w:val="1"/>
      <w:numFmt w:val="bullet"/>
      <w:lvlText w:val="•"/>
      <w:lvlJc w:val="left"/>
      <w:pPr>
        <w:ind w:left="720" w:hanging="360"/>
      </w:pPr>
    </w:lvl>
    <w:lvl w:ilvl="1" w:tplc="2D64CCD8">
      <w:numFmt w:val="decimal"/>
      <w:lvlText w:val=""/>
      <w:lvlJc w:val="left"/>
    </w:lvl>
    <w:lvl w:ilvl="2" w:tplc="FD2E87CC">
      <w:numFmt w:val="decimal"/>
      <w:lvlText w:val=""/>
      <w:lvlJc w:val="left"/>
    </w:lvl>
    <w:lvl w:ilvl="3" w:tplc="35B01500">
      <w:numFmt w:val="decimal"/>
      <w:lvlText w:val=""/>
      <w:lvlJc w:val="left"/>
    </w:lvl>
    <w:lvl w:ilvl="4" w:tplc="01243F02">
      <w:numFmt w:val="decimal"/>
      <w:lvlText w:val=""/>
      <w:lvlJc w:val="left"/>
    </w:lvl>
    <w:lvl w:ilvl="5" w:tplc="9AA8C284">
      <w:numFmt w:val="decimal"/>
      <w:lvlText w:val=""/>
      <w:lvlJc w:val="left"/>
    </w:lvl>
    <w:lvl w:ilvl="6" w:tplc="C60E9444">
      <w:numFmt w:val="decimal"/>
      <w:lvlText w:val=""/>
      <w:lvlJc w:val="left"/>
    </w:lvl>
    <w:lvl w:ilvl="7" w:tplc="5FDE4892">
      <w:numFmt w:val="decimal"/>
      <w:lvlText w:val=""/>
      <w:lvlJc w:val="left"/>
    </w:lvl>
    <w:lvl w:ilvl="8" w:tplc="931AD83A">
      <w:numFmt w:val="decimal"/>
      <w:lvlText w:val=""/>
      <w:lvlJc w:val="left"/>
    </w:lvl>
  </w:abstractNum>
  <w:abstractNum w:abstractNumId="1" w15:restartNumberingAfterBreak="0">
    <w:nsid w:val="46D46CD1"/>
    <w:multiLevelType w:val="hybridMultilevel"/>
    <w:tmpl w:val="9FBEA20E"/>
    <w:lvl w:ilvl="0" w:tplc="5CC0CF26">
      <w:start w:val="1"/>
      <w:numFmt w:val="bullet"/>
      <w:lvlText w:val="●"/>
      <w:lvlJc w:val="left"/>
      <w:pPr>
        <w:ind w:left="720" w:hanging="360"/>
      </w:pPr>
    </w:lvl>
    <w:lvl w:ilvl="1" w:tplc="9EDAA040">
      <w:start w:val="1"/>
      <w:numFmt w:val="bullet"/>
      <w:lvlText w:val="○"/>
      <w:lvlJc w:val="left"/>
      <w:pPr>
        <w:ind w:left="1440" w:hanging="360"/>
      </w:pPr>
    </w:lvl>
    <w:lvl w:ilvl="2" w:tplc="3C201CFC">
      <w:start w:val="1"/>
      <w:numFmt w:val="bullet"/>
      <w:lvlText w:val="■"/>
      <w:lvlJc w:val="left"/>
      <w:pPr>
        <w:ind w:left="2160" w:hanging="360"/>
      </w:pPr>
    </w:lvl>
    <w:lvl w:ilvl="3" w:tplc="2ECA493E">
      <w:start w:val="1"/>
      <w:numFmt w:val="bullet"/>
      <w:lvlText w:val="●"/>
      <w:lvlJc w:val="left"/>
      <w:pPr>
        <w:ind w:left="2880" w:hanging="360"/>
      </w:pPr>
    </w:lvl>
    <w:lvl w:ilvl="4" w:tplc="4BBAAD96">
      <w:start w:val="1"/>
      <w:numFmt w:val="bullet"/>
      <w:lvlText w:val="○"/>
      <w:lvlJc w:val="left"/>
      <w:pPr>
        <w:ind w:left="3600" w:hanging="360"/>
      </w:pPr>
    </w:lvl>
    <w:lvl w:ilvl="5" w:tplc="E9FE5FB8">
      <w:start w:val="1"/>
      <w:numFmt w:val="bullet"/>
      <w:lvlText w:val="■"/>
      <w:lvlJc w:val="left"/>
      <w:pPr>
        <w:ind w:left="4320" w:hanging="360"/>
      </w:pPr>
    </w:lvl>
    <w:lvl w:ilvl="6" w:tplc="80D4DCFE">
      <w:start w:val="1"/>
      <w:numFmt w:val="bullet"/>
      <w:lvlText w:val="●"/>
      <w:lvlJc w:val="left"/>
      <w:pPr>
        <w:ind w:left="5040" w:hanging="360"/>
      </w:pPr>
    </w:lvl>
    <w:lvl w:ilvl="7" w:tplc="B0DA4DD4">
      <w:start w:val="1"/>
      <w:numFmt w:val="bullet"/>
      <w:lvlText w:val="●"/>
      <w:lvlJc w:val="left"/>
      <w:pPr>
        <w:ind w:left="5760" w:hanging="360"/>
      </w:pPr>
    </w:lvl>
    <w:lvl w:ilvl="8" w:tplc="3AF89128">
      <w:start w:val="1"/>
      <w:numFmt w:val="bullet"/>
      <w:lvlText w:val="●"/>
      <w:lvlJc w:val="left"/>
      <w:pPr>
        <w:ind w:left="6480" w:hanging="360"/>
      </w:pPr>
    </w:lvl>
  </w:abstractNum>
  <w:abstractNum w:abstractNumId="2" w15:restartNumberingAfterBreak="0">
    <w:nsid w:val="71F16D8A"/>
    <w:multiLevelType w:val="hybridMultilevel"/>
    <w:tmpl w:val="07D24482"/>
    <w:lvl w:ilvl="0" w:tplc="94D8C800">
      <w:start w:val="1"/>
      <w:numFmt w:val="decimal"/>
      <w:lvlText w:val="%1."/>
      <w:lvlJc w:val="left"/>
      <w:pPr>
        <w:ind w:left="720" w:hanging="360"/>
      </w:pPr>
    </w:lvl>
    <w:lvl w:ilvl="1" w:tplc="3C48E8DE">
      <w:numFmt w:val="decimal"/>
      <w:lvlText w:val=""/>
      <w:lvlJc w:val="left"/>
    </w:lvl>
    <w:lvl w:ilvl="2" w:tplc="3392E952">
      <w:numFmt w:val="decimal"/>
      <w:lvlText w:val=""/>
      <w:lvlJc w:val="left"/>
    </w:lvl>
    <w:lvl w:ilvl="3" w:tplc="6DAE19BC">
      <w:numFmt w:val="decimal"/>
      <w:lvlText w:val=""/>
      <w:lvlJc w:val="left"/>
    </w:lvl>
    <w:lvl w:ilvl="4" w:tplc="BBECEB34">
      <w:numFmt w:val="decimal"/>
      <w:lvlText w:val=""/>
      <w:lvlJc w:val="left"/>
    </w:lvl>
    <w:lvl w:ilvl="5" w:tplc="E1424136">
      <w:numFmt w:val="decimal"/>
      <w:lvlText w:val=""/>
      <w:lvlJc w:val="left"/>
    </w:lvl>
    <w:lvl w:ilvl="6" w:tplc="26B2E022">
      <w:numFmt w:val="decimal"/>
      <w:lvlText w:val=""/>
      <w:lvlJc w:val="left"/>
    </w:lvl>
    <w:lvl w:ilvl="7" w:tplc="27C28A8C">
      <w:numFmt w:val="decimal"/>
      <w:lvlText w:val=""/>
      <w:lvlJc w:val="left"/>
    </w:lvl>
    <w:lvl w:ilvl="8" w:tplc="91A4EBC8">
      <w:numFmt w:val="decimal"/>
      <w:lvlText w:val=""/>
      <w:lvlJc w:val="left"/>
    </w:lvl>
  </w:abstractNum>
  <w:abstractNum w:abstractNumId="3" w15:restartNumberingAfterBreak="0">
    <w:nsid w:val="765E44C8"/>
    <w:multiLevelType w:val="hybridMultilevel"/>
    <w:tmpl w:val="FB3019CA"/>
    <w:lvl w:ilvl="0" w:tplc="E168E4AE">
      <w:start w:val="1"/>
      <w:numFmt w:val="bullet"/>
      <w:lvlText w:val="•"/>
      <w:lvlJc w:val="left"/>
      <w:pPr>
        <w:ind w:left="720" w:hanging="360"/>
      </w:pPr>
    </w:lvl>
    <w:lvl w:ilvl="1" w:tplc="9ED4A49E">
      <w:numFmt w:val="decimal"/>
      <w:lvlText w:val=""/>
      <w:lvlJc w:val="left"/>
    </w:lvl>
    <w:lvl w:ilvl="2" w:tplc="C79C3EB0">
      <w:numFmt w:val="decimal"/>
      <w:lvlText w:val=""/>
      <w:lvlJc w:val="left"/>
    </w:lvl>
    <w:lvl w:ilvl="3" w:tplc="58C6125C">
      <w:numFmt w:val="decimal"/>
      <w:lvlText w:val=""/>
      <w:lvlJc w:val="left"/>
    </w:lvl>
    <w:lvl w:ilvl="4" w:tplc="C96E16E0">
      <w:numFmt w:val="decimal"/>
      <w:lvlText w:val=""/>
      <w:lvlJc w:val="left"/>
    </w:lvl>
    <w:lvl w:ilvl="5" w:tplc="0DA6FFF0">
      <w:numFmt w:val="decimal"/>
      <w:lvlText w:val=""/>
      <w:lvlJc w:val="left"/>
    </w:lvl>
    <w:lvl w:ilvl="6" w:tplc="4EF8F9B6">
      <w:numFmt w:val="decimal"/>
      <w:lvlText w:val=""/>
      <w:lvlJc w:val="left"/>
    </w:lvl>
    <w:lvl w:ilvl="7" w:tplc="740EC8F4">
      <w:numFmt w:val="decimal"/>
      <w:lvlText w:val=""/>
      <w:lvlJc w:val="left"/>
    </w:lvl>
    <w:lvl w:ilvl="8" w:tplc="E6D61D8C">
      <w:numFmt w:val="decimal"/>
      <w:lvlText w:val=""/>
      <w:lvlJc w:val="left"/>
    </w:lvl>
  </w:abstractNum>
  <w:abstractNum w:abstractNumId="4" w15:restartNumberingAfterBreak="0">
    <w:nsid w:val="78D0228D"/>
    <w:multiLevelType w:val="hybridMultilevel"/>
    <w:tmpl w:val="6BDC2DE2"/>
    <w:lvl w:ilvl="0" w:tplc="9FA61810">
      <w:start w:val="1"/>
      <w:numFmt w:val="decimal"/>
      <w:lvlText w:val="%1."/>
      <w:lvlJc w:val="left"/>
      <w:pPr>
        <w:ind w:left="720" w:hanging="360"/>
      </w:pPr>
    </w:lvl>
    <w:lvl w:ilvl="1" w:tplc="768EA690">
      <w:numFmt w:val="decimal"/>
      <w:lvlText w:val=""/>
      <w:lvlJc w:val="left"/>
    </w:lvl>
    <w:lvl w:ilvl="2" w:tplc="9452A4A8">
      <w:numFmt w:val="decimal"/>
      <w:lvlText w:val=""/>
      <w:lvlJc w:val="left"/>
    </w:lvl>
    <w:lvl w:ilvl="3" w:tplc="290622D8">
      <w:numFmt w:val="decimal"/>
      <w:lvlText w:val=""/>
      <w:lvlJc w:val="left"/>
    </w:lvl>
    <w:lvl w:ilvl="4" w:tplc="33BE8720">
      <w:numFmt w:val="decimal"/>
      <w:lvlText w:val=""/>
      <w:lvlJc w:val="left"/>
    </w:lvl>
    <w:lvl w:ilvl="5" w:tplc="4C42EAF2">
      <w:numFmt w:val="decimal"/>
      <w:lvlText w:val=""/>
      <w:lvlJc w:val="left"/>
    </w:lvl>
    <w:lvl w:ilvl="6" w:tplc="E5D84F6A">
      <w:numFmt w:val="decimal"/>
      <w:lvlText w:val=""/>
      <w:lvlJc w:val="left"/>
    </w:lvl>
    <w:lvl w:ilvl="7" w:tplc="FFBEE9F0">
      <w:numFmt w:val="decimal"/>
      <w:lvlText w:val=""/>
      <w:lvlJc w:val="left"/>
    </w:lvl>
    <w:lvl w:ilvl="8" w:tplc="290E4708">
      <w:numFmt w:val="decimal"/>
      <w:lvlText w:val=""/>
      <w:lvlJc w:val="left"/>
    </w:lvl>
  </w:abstractNum>
  <w:num w:numId="1" w16cid:durableId="775373346">
    <w:abstractNumId w:val="1"/>
    <w:lvlOverride w:ilvl="0">
      <w:startOverride w:val="1"/>
    </w:lvlOverride>
  </w:num>
  <w:num w:numId="2" w16cid:durableId="707876691">
    <w:abstractNumId w:val="3"/>
    <w:lvlOverride w:ilvl="0">
      <w:startOverride w:val="1"/>
    </w:lvlOverride>
  </w:num>
  <w:num w:numId="3" w16cid:durableId="556283481">
    <w:abstractNumId w:val="4"/>
    <w:lvlOverride w:ilvl="0">
      <w:startOverride w:val="1"/>
    </w:lvlOverride>
  </w:num>
  <w:num w:numId="4" w16cid:durableId="10874598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D19"/>
    <w:rsid w:val="001350A2"/>
    <w:rsid w:val="00371F88"/>
    <w:rsid w:val="00590D19"/>
    <w:rsid w:val="00660C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913AD"/>
  <w15:docId w15:val="{47734943-6F85-4CDF-8616-2E1BE1495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EB8"/>
      <w:sz w:val="32"/>
      <w:szCs w:val="32"/>
    </w:rPr>
  </w:style>
  <w:style w:type="paragraph" w:styleId="Heading2">
    <w:name w:val="heading 2"/>
    <w:uiPriority w:val="9"/>
    <w:unhideWhenUsed/>
    <w:qFormat/>
    <w:pPr>
      <w:spacing w:before="280" w:after="160"/>
      <w:outlineLvl w:val="1"/>
    </w:pPr>
    <w:rPr>
      <w:b/>
      <w:bCs/>
      <w:color w:val="003087"/>
      <w:sz w:val="26"/>
      <w:szCs w:val="26"/>
    </w:rPr>
  </w:style>
  <w:style w:type="paragraph" w:styleId="Heading3">
    <w:name w:val="heading 3"/>
    <w:uiPriority w:val="9"/>
    <w:unhideWhenUsed/>
    <w:qFormat/>
    <w:pPr>
      <w:spacing w:before="200" w:after="120"/>
      <w:outlineLvl w:val="2"/>
    </w:pPr>
    <w:rPr>
      <w:b/>
      <w:bCs/>
      <w:color w:val="005EB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2496</Words>
  <Characters>14233</Characters>
  <Application>Microsoft Office Word</Application>
  <DocSecurity>0</DocSecurity>
  <Lines>118</Lines>
  <Paragraphs>33</Paragraphs>
  <ScaleCrop>false</ScaleCrop>
  <Company/>
  <LinksUpToDate>false</LinksUpToDate>
  <CharactersWithSpaces>16696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 Sara McNeillis MBBS FRCA MMed</cp:lastModifiedBy>
  <cp:revision>2</cp:revision>
  <dcterms:created xsi:type="dcterms:W3CDTF">2026-07-12T08:57:00Z</dcterms:created>
  <dcterms:modified xsi:type="dcterms:W3CDTF">2026-07-13T17:52:00Z</dcterms:modified>
</cp:coreProperties>
</file>