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6"/>
        <w:tblpPr w:leftFromText="180" w:rightFromText="180" w:vertAnchor="text" w:tblpY="1"/>
        <w:tblW w:w="9374" w:type="dxa"/>
        <w:tblLayout w:type="fixed"/>
        <w:tblLook w:val="04A0" w:firstRow="1" w:lastRow="0" w:firstColumn="1" w:lastColumn="0" w:noHBand="0" w:noVBand="1"/>
      </w:tblPr>
      <w:tblGrid>
        <w:gridCol w:w="1254"/>
        <w:gridCol w:w="8120"/>
      </w:tblGrid>
      <w:tr w:rsidR="00C61119" w:rsidRPr="00162C39" w:rsidTr="00864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C61119" w:rsidRPr="000D1F7D" w:rsidRDefault="00C61119" w:rsidP="00864CA9">
            <w:pPr>
              <w:rPr>
                <w:rFonts w:cstheme="minorHAnsi"/>
                <w:sz w:val="20"/>
              </w:rPr>
            </w:pPr>
            <w:r w:rsidRPr="000D1F7D">
              <w:rPr>
                <w:rFonts w:cstheme="minorHAnsi"/>
                <w:sz w:val="20"/>
              </w:rPr>
              <w:t>TEA PRIMITIVE</w:t>
            </w:r>
          </w:p>
        </w:tc>
        <w:tc>
          <w:tcPr>
            <w:tcW w:w="8120" w:type="dxa"/>
          </w:tcPr>
          <w:p w:rsidR="00C61119" w:rsidRPr="001235A7" w:rsidRDefault="00C61119" w:rsidP="0086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1235A7">
              <w:rPr>
                <w:rFonts w:cstheme="minorHAnsi"/>
                <w:sz w:val="20"/>
              </w:rPr>
              <w:t>SEMANTICS</w:t>
            </w:r>
          </w:p>
        </w:tc>
      </w:tr>
      <w:tr w:rsidR="00C61119" w:rsidRPr="00AB2CE0" w:rsidTr="00864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C61119" w:rsidRPr="000D1F7D" w:rsidRDefault="00C61119" w:rsidP="00864CA9">
            <w:pPr>
              <w:rPr>
                <w:rFonts w:ascii="Bookman Old Style" w:hAnsi="Bookman Old Style"/>
                <w:b w:val="0"/>
                <w:bCs w:val="0"/>
                <w:sz w:val="20"/>
              </w:rPr>
            </w:pPr>
            <w:r w:rsidRPr="000D1F7D">
              <w:rPr>
                <w:rFonts w:ascii="Bookman Old Style" w:hAnsi="Bookman Old Style"/>
                <w:sz w:val="20"/>
              </w:rPr>
              <w:t>J:</w:t>
            </w:r>
          </w:p>
          <w:p w:rsidR="00C61119" w:rsidRPr="000D1F7D" w:rsidRDefault="00C61119" w:rsidP="00864CA9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8120" w:type="dxa"/>
          </w:tcPr>
          <w:tbl>
            <w:tblPr>
              <w:tblStyle w:val="GridTable5Dark-Accent2"/>
              <w:tblW w:w="0" w:type="auto"/>
              <w:tblInd w:w="28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6236"/>
              <w:gridCol w:w="360"/>
            </w:tblGrid>
            <w:tr w:rsidR="00C61119" w:rsidRPr="00AB2CE0" w:rsidTr="00864CA9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360" w:type="dxa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9" w:type="dxa"/>
                  <w:shd w:val="clear" w:color="auto" w:fill="000000" w:themeFill="text1"/>
                </w:tcPr>
                <w:p w:rsidR="00C61119" w:rsidRPr="001235A7" w:rsidRDefault="00C61119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1235A7">
                    <w:rPr>
                      <w:rFonts w:cstheme="minorHAnsi"/>
                      <w:color w:val="auto"/>
                      <w:sz w:val="20"/>
                    </w:rPr>
                    <w:t>NAME</w:t>
                  </w:r>
                </w:p>
              </w:tc>
              <w:tc>
                <w:tcPr>
                  <w:tcW w:w="6236" w:type="dxa"/>
                  <w:shd w:val="clear" w:color="auto" w:fill="000000" w:themeFill="text1"/>
                </w:tcPr>
                <w:p w:rsidR="00C61119" w:rsidRPr="00AB2CE0" w:rsidRDefault="00C61119" w:rsidP="00864CA9">
                  <w:pPr>
                    <w:framePr w:hSpace="180" w:wrap="around" w:vAnchor="text" w:hAnchor="text" w:y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Jump</w:t>
                  </w:r>
                </w:p>
              </w:tc>
            </w:tr>
            <w:tr w:rsidR="00C61119" w:rsidRPr="00AB2CE0" w:rsidTr="00864CA9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360" w:type="dxa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9" w:type="dxa"/>
                  <w:shd w:val="clear" w:color="auto" w:fill="FFFFFF" w:themeFill="background1"/>
                </w:tcPr>
                <w:p w:rsidR="00C61119" w:rsidRPr="001235A7" w:rsidRDefault="00C61119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1235A7">
                    <w:rPr>
                      <w:rFonts w:cstheme="minorHAnsi"/>
                      <w:color w:val="auto"/>
                      <w:sz w:val="20"/>
                    </w:rPr>
                    <w:t>PURPOSE</w:t>
                  </w:r>
                </w:p>
              </w:tc>
              <w:tc>
                <w:tcPr>
                  <w:tcW w:w="6236" w:type="dxa"/>
                  <w:shd w:val="clear" w:color="auto" w:fill="FFFFFF" w:themeFill="background1"/>
                </w:tcPr>
                <w:p w:rsidR="00C61119" w:rsidRPr="00AB2CE0" w:rsidRDefault="00C61119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Jump across the TEA program</w:t>
                  </w:r>
                </w:p>
              </w:tc>
            </w:tr>
            <w:tr w:rsidR="00C61119" w:rsidRPr="00AB2CE0" w:rsidTr="00864CA9">
              <w:trPr>
                <w:trHeight w:val="33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9" w:type="dxa"/>
                  <w:shd w:val="clear" w:color="auto" w:fill="FFFFFF" w:themeFill="background1"/>
                </w:tcPr>
                <w:p w:rsidR="00C61119" w:rsidRPr="001235A7" w:rsidRDefault="00C61119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1235A7">
                    <w:rPr>
                      <w:rFonts w:cstheme="minorHAnsi"/>
                      <w:color w:val="auto"/>
                      <w:sz w:val="20"/>
                    </w:rPr>
                    <w:t>SYNTAX</w:t>
                  </w:r>
                </w:p>
                <w:p w:rsidR="00C61119" w:rsidRPr="001235A7" w:rsidRDefault="00C61119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1235A7">
                    <w:rPr>
                      <w:rFonts w:cstheme="minorHAnsi"/>
                      <w:color w:val="auto"/>
                      <w:sz w:val="20"/>
                    </w:rPr>
                    <w:t>&amp; SEMANTICS</w:t>
                  </w:r>
                </w:p>
              </w:tc>
              <w:tc>
                <w:tcPr>
                  <w:tcW w:w="6236" w:type="dxa"/>
                  <w:shd w:val="clear" w:color="auto" w:fill="FFFFFF" w:themeFill="background1"/>
                </w:tcPr>
                <w:tbl>
                  <w:tblPr>
                    <w:tblStyle w:val="PlainTable4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959"/>
                  </w:tblGrid>
                  <w:tr w:rsidR="00C61119" w:rsidRPr="00AB2CE0" w:rsidTr="00864C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1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59" w:type="dxa"/>
                      </w:tcPr>
                      <w:p w:rsidR="00C61119" w:rsidRPr="00AB2CE0" w:rsidRDefault="00C61119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j:</w:t>
                        </w:r>
                      </w:p>
                    </w:tc>
                  </w:tr>
                  <w:tr w:rsidR="00C61119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59" w:type="dxa"/>
                      </w:tcPr>
                      <w:p w:rsidR="00C61119" w:rsidRPr="00AB2CE0" w:rsidRDefault="00C61119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INERT</w:t>
                        </w:r>
                      </w:p>
                    </w:tc>
                  </w:tr>
                  <w:tr w:rsidR="00C61119" w:rsidRPr="00AB2CE0" w:rsidTr="00864CA9">
                    <w:trPr>
                      <w:trHeight w:val="23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59" w:type="dxa"/>
                      </w:tcPr>
                      <w:p w:rsidR="00C61119" w:rsidRPr="00AB2CE0" w:rsidRDefault="00C61119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j:LABEL</w:t>
                        </w:r>
                      </w:p>
                    </w:tc>
                  </w:tr>
                  <w:tr w:rsidR="00C61119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57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59" w:type="dxa"/>
                      </w:tcPr>
                      <w:p w:rsidR="00C61119" w:rsidRPr="00AB2CE0" w:rsidRDefault="00C61119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Unconditionally jump to the location in the program under the label 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LABEL</w:t>
                        </w:r>
                        <w:proofErr w:type="spell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.</w:t>
                        </w:r>
                      </w:p>
                    </w:tc>
                  </w:tr>
                  <w:tr w:rsidR="00C61119" w:rsidRPr="00AB2CE0" w:rsidTr="00864CA9">
                    <w:trPr>
                      <w:trHeight w:val="11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59" w:type="dxa"/>
                      </w:tcPr>
                      <w:p w:rsidR="00C61119" w:rsidRPr="00AB2CE0" w:rsidRDefault="00C61119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j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!:</w:t>
                        </w:r>
                      </w:p>
                    </w:tc>
                  </w:tr>
                  <w:tr w:rsidR="00C61119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11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59" w:type="dxa"/>
                      </w:tcPr>
                      <w:p w:rsidR="00C61119" w:rsidRPr="00AB2CE0" w:rsidRDefault="00C61119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Return to the Start of the TEA Program</w:t>
                        </w:r>
                      </w:p>
                    </w:tc>
                  </w:tr>
                  <w:tr w:rsidR="00C61119" w:rsidRPr="00AB2CE0" w:rsidTr="00864CA9">
                    <w:trPr>
                      <w:trHeight w:val="11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59" w:type="dxa"/>
                      </w:tcPr>
                      <w:p w:rsidR="00C61119" w:rsidRPr="00AB2CE0" w:rsidRDefault="00C61119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j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!: PARAM</w:t>
                        </w:r>
                      </w:p>
                    </w:tc>
                  </w:tr>
                  <w:tr w:rsidR="00C61119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57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59" w:type="dxa"/>
                      </w:tcPr>
                      <w:p w:rsidR="00C61119" w:rsidRPr="00AB2CE0" w:rsidRDefault="00C61119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INERT (or rather</w:t>
                        </w:r>
                        <w:r w:rsidRPr="00AB2CE0">
                          <w:rPr>
                            <w:rFonts w:ascii="Bookman Old Style" w:hAnsi="Bookman Old Style"/>
                            <w:b w:val="0"/>
                            <w:i/>
                            <w:sz w:val="20"/>
                          </w:rPr>
                          <w:t xml:space="preserve">, </w:t>
                        </w:r>
                        <w:proofErr w:type="gramStart"/>
                        <w:r w:rsidRPr="00AB2CE0">
                          <w:rPr>
                            <w:rFonts w:ascii="Bookman Old Style" w:hAnsi="Bookman Old Style"/>
                            <w:b w:val="0"/>
                            <w:i/>
                            <w:sz w:val="20"/>
                          </w:rPr>
                          <w:t>don’t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b w:val="0"/>
                            <w:i/>
                            <w:sz w:val="20"/>
                          </w:rPr>
                          <w:t xml:space="preserve"> jump!</w:t>
                        </w: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)</w:t>
                        </w:r>
                      </w:p>
                    </w:tc>
                  </w:tr>
                </w:tbl>
                <w:p w:rsidR="00C61119" w:rsidRPr="00AB2CE0" w:rsidRDefault="00C61119" w:rsidP="00864CA9">
                  <w:pPr>
                    <w:framePr w:hSpace="180" w:wrap="around" w:vAnchor="text" w:hAnchor="text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61119" w:rsidRPr="00AB2CE0" w:rsidRDefault="00C61119" w:rsidP="00864CA9">
                  <w:pPr>
                    <w:framePr w:hSpace="180" w:wrap="around" w:vAnchor="text" w:hAnchor="text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  <w:tr w:rsidR="00C61119" w:rsidRPr="00AB2CE0" w:rsidTr="00864C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9" w:type="dxa"/>
                  <w:shd w:val="clear" w:color="auto" w:fill="FFFFFF" w:themeFill="background1"/>
                </w:tcPr>
                <w:p w:rsidR="00C61119" w:rsidRPr="001235A7" w:rsidRDefault="00C61119" w:rsidP="00864CA9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C61119" w:rsidRPr="001235A7" w:rsidRDefault="00C61119" w:rsidP="00864CA9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C61119" w:rsidRPr="001235A7" w:rsidRDefault="00C61119" w:rsidP="00864CA9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C61119" w:rsidRPr="001235A7" w:rsidRDefault="00C61119" w:rsidP="00864CA9">
                  <w:pPr>
                    <w:framePr w:hSpace="180" w:wrap="around" w:vAnchor="text" w:hAnchor="text" w:y="1"/>
                    <w:jc w:val="center"/>
                    <w:rPr>
                      <w:rFonts w:ascii="Bookman Old Style" w:hAnsi="Bookman Old Style"/>
                      <w:color w:val="auto"/>
                      <w:sz w:val="20"/>
                    </w:rPr>
                  </w:pPr>
                  <w:r w:rsidRPr="001235A7">
                    <w:rPr>
                      <w:rFonts w:ascii="Bookman Old Style" w:hAnsi="Bookman Old Style"/>
                      <w:color w:val="auto"/>
                      <w:sz w:val="20"/>
                    </w:rPr>
                    <w:t>NOTES</w:t>
                  </w:r>
                </w:p>
              </w:tc>
              <w:tc>
                <w:tcPr>
                  <w:tcW w:w="6236" w:type="dxa"/>
                  <w:shd w:val="clear" w:color="auto" w:fill="FFFFFF" w:themeFill="background1"/>
                </w:tcPr>
                <w:p w:rsidR="00C61119" w:rsidRPr="00AB2CE0" w:rsidRDefault="00C61119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This command is one of the few flow-control instructions in a TEA program ( the others are f: and q: )</w:t>
                  </w:r>
                </w:p>
                <w:p w:rsidR="00C61119" w:rsidRPr="00AB2CE0" w:rsidRDefault="00C61119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C61119" w:rsidRPr="00AB2CE0" w:rsidRDefault="00C61119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proofErr w:type="gramStart"/>
                  <w:r w:rsidRPr="00AB2CE0">
                    <w:rPr>
                      <w:rFonts w:ascii="Bookman Old Style" w:hAnsi="Bookman Old Style"/>
                      <w:sz w:val="20"/>
                    </w:rPr>
                    <w:t>j</w:t>
                  </w:r>
                  <w:proofErr w:type="gramEnd"/>
                  <w:r w:rsidRPr="00AB2CE0">
                    <w:rPr>
                      <w:rFonts w:ascii="Bookman Old Style" w:hAnsi="Bookman Old Style"/>
                      <w:sz w:val="20"/>
                    </w:rPr>
                    <w:t>!: (like q!:) is one of few branching commands in TEA that does useful work without any label or block references. Some illustrative examples follow…</w:t>
                  </w:r>
                </w:p>
                <w:p w:rsidR="00C61119" w:rsidRPr="00AB2CE0" w:rsidRDefault="00C61119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C61119" w:rsidRPr="00AB2CE0" w:rsidRDefault="00C61119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!:</w:t>
                  </w:r>
                  <w:r w:rsidRPr="001235A7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 xml:space="preserve">TEST 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| r:T:P | z:</w:t>
                  </w:r>
                </w:p>
                <w:p w:rsidR="00C61119" w:rsidRPr="00AB2CE0" w:rsidRDefault="00C61119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f:PEST:A</w:t>
                  </w:r>
                </w:p>
                <w:p w:rsidR="00C61119" w:rsidRPr="00AB2CE0" w:rsidRDefault="00C61119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j:B</w:t>
                  </w:r>
                </w:p>
                <w:p w:rsidR="00C61119" w:rsidRPr="00AB2CE0" w:rsidRDefault="00C61119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gram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l:</w:t>
                  </w:r>
                  <w:proofErr w:type="gram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A | x!:</w:t>
                  </w:r>
                  <w:r w:rsidRPr="001235A7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 xml:space="preserve">-KILL 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| q!:</w:t>
                  </w:r>
                </w:p>
                <w:p w:rsidR="00C61119" w:rsidRPr="00AB2CE0" w:rsidRDefault="00C61119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l:B</w:t>
                  </w:r>
                </w:p>
                <w:p w:rsidR="00C61119" w:rsidRPr="00AB2CE0" w:rsidRDefault="00C61119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gram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x</w:t>
                  </w:r>
                  <w:proofErr w:type="gram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!:</w:t>
                  </w:r>
                  <w:r w:rsidRPr="001235A7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-OK</w:t>
                  </w:r>
                </w:p>
                <w:p w:rsidR="00C61119" w:rsidRPr="00AB2CE0" w:rsidRDefault="00C61119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C61119" w:rsidRPr="00AB2CE0" w:rsidRDefault="00C61119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C61119" w:rsidRPr="00AB2CE0" w:rsidRDefault="00C61119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Should return “P</w:t>
                  </w:r>
                  <w:r>
                    <w:rPr>
                      <w:rFonts w:ascii="Bookman Old Style" w:hAnsi="Bookman Old Style"/>
                      <w:sz w:val="20"/>
                    </w:rPr>
                    <w:t>EST-KILL” if instruction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#2 replaces only the first occurrence of T in the AI, otherwise will return “PESP-OK”. Note that in this example program, we see two ways to jump using </w:t>
                  </w:r>
                  <w:r>
                    <w:rPr>
                      <w:rFonts w:ascii="Bookman Old Style" w:hAnsi="Bookman Old Style"/>
                      <w:sz w:val="20"/>
                    </w:rPr>
                    <w:t>labels in TEA</w:t>
                  </w:r>
                  <w:proofErr w:type="gramStart"/>
                  <w:r>
                    <w:rPr>
                      <w:rFonts w:ascii="Bookman Old Style" w:hAnsi="Bookman Old Style"/>
                      <w:sz w:val="20"/>
                    </w:rPr>
                    <w:t>;</w:t>
                  </w:r>
                  <w:proofErr w:type="gramEnd"/>
                  <w:r>
                    <w:rPr>
                      <w:rFonts w:ascii="Bookman Old Style" w:hAnsi="Bookman Old Style"/>
                      <w:sz w:val="20"/>
                    </w:rPr>
                    <w:t xml:space="preserve"> the first (line#2, instruction#4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) using </w:t>
                  </w:r>
                  <w:r>
                    <w:rPr>
                      <w:rFonts w:ascii="Bookman Old Style" w:hAnsi="Bookman Old Style"/>
                      <w:sz w:val="20"/>
                    </w:rPr>
                    <w:t>the Fork instruction, while instruction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#5 uses the canonical Jump instruction. </w:t>
                  </w:r>
                </w:p>
                <w:p w:rsidR="00C61119" w:rsidRPr="00AB2CE0" w:rsidRDefault="00C61119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C61119" w:rsidRPr="00AB2CE0" w:rsidRDefault="00C61119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C61119" w:rsidRPr="00AB2CE0" w:rsidRDefault="00C61119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lastRenderedPageBreak/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</w:tbl>
          <w:p w:rsidR="00C61119" w:rsidRPr="00AB2CE0" w:rsidRDefault="00C61119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</w:p>
          <w:p w:rsidR="00C61119" w:rsidRPr="00AB2CE0" w:rsidRDefault="00C61119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</w:p>
        </w:tc>
      </w:tr>
    </w:tbl>
    <w:p w:rsidR="00A402A0" w:rsidRDefault="00A402A0">
      <w:bookmarkStart w:id="0" w:name="_GoBack"/>
      <w:bookmarkEnd w:id="0"/>
    </w:p>
    <w:sectPr w:rsidR="00A4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19"/>
    <w:rsid w:val="00222F62"/>
    <w:rsid w:val="00A402A0"/>
    <w:rsid w:val="00C6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CF169-892C-43B4-AC27-92EC68C1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119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table" w:styleId="GridTable5Dark-Accent2">
    <w:name w:val="Grid Table 5 Dark Accent 2"/>
    <w:basedOn w:val="TableNormal"/>
    <w:uiPriority w:val="50"/>
    <w:rsid w:val="00C61119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PlainTable4">
    <w:name w:val="Plain Table 4"/>
    <w:basedOn w:val="TableNormal"/>
    <w:uiPriority w:val="44"/>
    <w:rsid w:val="00C61119"/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C61119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1</cp:revision>
  <dcterms:created xsi:type="dcterms:W3CDTF">2025-09-20T16:03:00Z</dcterms:created>
  <dcterms:modified xsi:type="dcterms:W3CDTF">2025-09-20T16:03:00Z</dcterms:modified>
</cp:coreProperties>
</file>