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color w:val="1F3A5F"/>
          <w:sz w:val="40"/>
        </w:rPr>
        <w:t>Matthew L. Moeller</w:t>
      </w:r>
    </w:p>
    <w:p>
      <w:pPr>
        <w:spacing w:after="20" w:before="0"/>
        <w:jc w:val="center"/>
      </w:pPr>
      <w:r>
        <w:rPr>
          <w:b/>
          <w:i w:val="0"/>
          <w:sz w:val="23"/>
        </w:rPr>
        <w:t>Electromechanical Components Consultant  |  Contactors • Relays • Control Transformers</w:t>
      </w:r>
    </w:p>
    <w:p>
      <w:pPr>
        <w:spacing w:after="120" w:before="0"/>
        <w:jc w:val="center"/>
      </w:pPr>
      <w:r>
        <w:rPr>
          <w:b w:val="0"/>
          <w:i w:val="0"/>
          <w:color w:val="555555"/>
          <w:sz w:val="19"/>
        </w:rPr>
        <w:t>Rock Falls, IL  •  815.631.9770  •  mcnl.moe@gmail.com  •  linkedin.com/in/mattmoeller</w:t>
      </w:r>
    </w:p>
    <w:p>
      <w:pPr>
        <w:spacing w:after="40" w:before="0"/>
      </w:pPr>
      <w:r>
        <w:rPr>
          <w:b/>
        </w:rPr>
        <w:t xml:space="preserve">30+ years designing, qualifying, and troubleshooting the switching devices OEMs buy. </w:t>
      </w:r>
      <w:r>
        <w:t>I help engineering and sourcing teams choose the right contactor, relay, or control transformer, specify it so suppliers can't cut corners, and find the real root cause when parts fail in the field. I've worked both sides of the purchase order: as the manufacturer's design and test lead, and as a utility engineer at a nuclear plant relying on those parts.</w:t>
      </w:r>
    </w:p>
    <w:p>
      <w:pPr>
        <w:spacing w:after="40" w:before="140"/>
        <w:pBdr>
          <w:bottom w:val="single" w:sz="6" w:space="1" w:color="1F3A5F"/>
        </w:pBdr>
      </w:pPr>
      <w:r>
        <w:rPr>
          <w:b/>
          <w:i w:val="0"/>
          <w:color w:val="1F3A5F"/>
          <w:sz w:val="21"/>
        </w:rPr>
        <w:t>HOW I HELP OEMS</w:t>
      </w:r>
    </w:p>
    <w:p>
      <w:pPr>
        <w:pStyle w:val="ListBullet"/>
        <w:spacing w:after="20"/>
        <w:ind w:left="288"/>
      </w:pPr>
      <w:r>
        <w:rPr>
          <w:b/>
          <w:sz w:val="20"/>
        </w:rPr>
        <w:t xml:space="preserve">Component selection &amp; supplier evaluation: </w:t>
      </w:r>
      <w:r>
        <w:rPr>
          <w:sz w:val="20"/>
        </w:rPr>
        <w:t>technical comparison of competing parts, supplier capability reviews, second-source and alternate-part qualification.</w:t>
      </w:r>
    </w:p>
    <w:p>
      <w:pPr>
        <w:pStyle w:val="ListBullet"/>
        <w:spacing w:after="20"/>
        <w:ind w:left="288"/>
      </w:pPr>
      <w:r>
        <w:rPr>
          <w:b/>
          <w:sz w:val="20"/>
        </w:rPr>
        <w:t xml:space="preserve">Specifications &amp; qualification test plans: </w:t>
      </w:r>
      <w:r>
        <w:rPr>
          <w:sz w:val="20"/>
        </w:rPr>
        <w:t>procurement specs, electrical life and endurance test protocols, acceptance criteria.</w:t>
      </w:r>
    </w:p>
    <w:p>
      <w:pPr>
        <w:pStyle w:val="ListBullet"/>
        <w:spacing w:after="20"/>
        <w:ind w:left="288"/>
      </w:pPr>
      <w:r>
        <w:rPr>
          <w:b/>
          <w:sz w:val="20"/>
        </w:rPr>
        <w:t xml:space="preserve">Root cause &amp; failure analysis: </w:t>
      </w:r>
      <w:r>
        <w:rPr>
          <w:sz w:val="20"/>
        </w:rPr>
        <w:t>contact wear and welding, coil failure, chatter, magnetic-circuit and material issues. Uses DOE, FMEA, and statistical analysis.</w:t>
      </w:r>
    </w:p>
    <w:p>
      <w:pPr>
        <w:pStyle w:val="ListBullet"/>
        <w:spacing w:after="20"/>
        <w:ind w:left="288"/>
      </w:pPr>
      <w:r>
        <w:rPr>
          <w:b/>
          <w:sz w:val="20"/>
        </w:rPr>
        <w:t xml:space="preserve">Cost reduction &amp; value engineering: </w:t>
      </w:r>
      <w:r>
        <w:rPr>
          <w:sz w:val="20"/>
        </w:rPr>
        <w:t>identifying where a component's cost actually sits and what can change without hurting reliability.</w:t>
      </w:r>
    </w:p>
    <w:p>
      <w:pPr>
        <w:pStyle w:val="ListBullet"/>
        <w:spacing w:after="20"/>
        <w:ind w:left="288"/>
      </w:pPr>
      <w:r>
        <w:rPr>
          <w:b/>
          <w:sz w:val="20"/>
        </w:rPr>
        <w:t xml:space="preserve">Technical training: </w:t>
      </w:r>
      <w:r>
        <w:rPr>
          <w:sz w:val="20"/>
        </w:rPr>
        <w:t>contact design, electromagnets, coil design, and transformer fundamentals for engineering and sourcing staff.</w:t>
      </w:r>
    </w:p>
    <w:p>
      <w:pPr>
        <w:spacing w:after="40" w:before="140"/>
        <w:pBdr>
          <w:bottom w:val="single" w:sz="6" w:space="1" w:color="1F3A5F"/>
        </w:pBdr>
      </w:pPr>
      <w:r>
        <w:rPr>
          <w:b/>
          <w:i w:val="0"/>
          <w:color w:val="1F3A5F"/>
          <w:sz w:val="21"/>
        </w:rPr>
        <w:t>SELECTED RESULTS</w:t>
      </w:r>
    </w:p>
    <w:p>
      <w:pPr>
        <w:pStyle w:val="ListBullet"/>
        <w:spacing w:after="20"/>
        <w:ind w:left="288"/>
      </w:pPr>
      <w:r>
        <w:rPr>
          <w:b/>
          <w:sz w:val="20"/>
        </w:rPr>
        <w:t xml:space="preserve">~20% cost reduction </w:t>
      </w:r>
      <w:r>
        <w:rPr>
          <w:sz w:val="20"/>
        </w:rPr>
        <w:t>on a contactor product line, achieved while maintaining performance and reliability specifications.</w:t>
      </w:r>
    </w:p>
    <w:p>
      <w:pPr>
        <w:pStyle w:val="ListBullet"/>
        <w:spacing w:after="20"/>
        <w:ind w:left="288"/>
      </w:pPr>
      <w:r>
        <w:rPr>
          <w:b/>
          <w:sz w:val="20"/>
        </w:rPr>
        <w:t xml:space="preserve">Led development of a 200A remote disconnect switch </w:t>
      </w:r>
      <w:r>
        <w:rPr>
          <w:sz w:val="20"/>
        </w:rPr>
        <w:t>for utility applications, from concept through production release.</w:t>
      </w:r>
    </w:p>
    <w:p>
      <w:pPr>
        <w:pStyle w:val="ListBullet"/>
        <w:spacing w:after="20"/>
        <w:ind w:left="288"/>
      </w:pPr>
      <w:r>
        <w:rPr>
          <w:b/>
          <w:sz w:val="20"/>
        </w:rPr>
        <w:t xml:space="preserve">Delivered 100A and 200A automatic transfer switches </w:t>
      </w:r>
      <w:r>
        <w:rPr>
          <w:sz w:val="20"/>
        </w:rPr>
        <w:t>for the residential standby generator market.</w:t>
      </w:r>
    </w:p>
    <w:p>
      <w:pPr>
        <w:pStyle w:val="ListBullet"/>
        <w:spacing w:after="20"/>
        <w:ind w:left="288"/>
      </w:pPr>
      <w:r>
        <w:rPr>
          <w:b/>
          <w:sz w:val="20"/>
        </w:rPr>
        <w:t xml:space="preserve">Fleet-wide protective relay audit </w:t>
      </w:r>
      <w:r>
        <w:rPr>
          <w:sz w:val="20"/>
        </w:rPr>
        <w:t>at Exelon's nuclear sites: relay settings, coordination, and compliance.</w:t>
      </w:r>
    </w:p>
    <w:p>
      <w:pPr>
        <w:pStyle w:val="ListBullet"/>
        <w:spacing w:after="20"/>
        <w:ind w:left="288"/>
      </w:pPr>
      <w:r>
        <w:rPr>
          <w:b/>
          <w:sz w:val="20"/>
        </w:rPr>
        <w:t xml:space="preserve">Root cause example: </w:t>
      </w:r>
      <w:r>
        <w:rPr>
          <w:i/>
          <w:color w:val="B03A2E"/>
          <w:sz w:val="20"/>
        </w:rPr>
        <w:t>[confirm: one field failure you diagnosed, what caused it, and what changed. This is the strongest line on the page once filled in.]</w:t>
      </w:r>
    </w:p>
    <w:p>
      <w:pPr>
        <w:spacing w:after="40" w:before="140"/>
        <w:pBdr>
          <w:bottom w:val="single" w:sz="6" w:space="1" w:color="1F3A5F"/>
        </w:pBdr>
      </w:pPr>
      <w:r>
        <w:rPr>
          <w:b/>
          <w:i w:val="0"/>
          <w:color w:val="1F3A5F"/>
          <w:sz w:val="21"/>
        </w:rPr>
        <w:t>CREDENTIALS</w:t>
      </w:r>
    </w:p>
    <w:p>
      <w:pPr>
        <w:pStyle w:val="ListBullet"/>
        <w:spacing w:after="20"/>
        <w:ind w:left="288"/>
      </w:pPr>
      <w:r>
        <w:rPr>
          <w:b/>
          <w:sz w:val="20"/>
        </w:rPr>
        <w:t xml:space="preserve">6 U.S. patents </w:t>
      </w:r>
      <w:r>
        <w:rPr>
          <w:sz w:val="20"/>
        </w:rPr>
        <w:t>on electromechanical switching devices (contactors and relays).</w:t>
      </w:r>
    </w:p>
    <w:p>
      <w:pPr>
        <w:pStyle w:val="ListBullet"/>
        <w:spacing w:after="20"/>
        <w:ind w:left="288"/>
      </w:pPr>
      <w:r>
        <w:rPr>
          <w:b/>
          <w:sz w:val="20"/>
        </w:rPr>
        <w:t xml:space="preserve">Published: </w:t>
      </w:r>
      <w:r>
        <w:rPr>
          <w:sz w:val="20"/>
        </w:rPr>
        <w:t>“Relay Chatter,” Appliance Magazine.</w:t>
      </w:r>
    </w:p>
    <w:p>
      <w:pPr>
        <w:pStyle w:val="ListBullet"/>
        <w:spacing w:after="20"/>
        <w:ind w:left="288"/>
      </w:pPr>
      <w:r>
        <w:rPr>
          <w:b/>
          <w:sz w:val="20"/>
        </w:rPr>
        <w:t xml:space="preserve">Senior Principal Engineer &amp; company-wide SME </w:t>
      </w:r>
      <w:r>
        <w:rPr>
          <w:sz w:val="20"/>
        </w:rPr>
        <w:t>on magnetics and switching devices, Littelfuse / Hartland Controls.</w:t>
      </w:r>
    </w:p>
    <w:p>
      <w:pPr>
        <w:pStyle w:val="ListBullet"/>
        <w:spacing w:after="20"/>
        <w:ind w:left="288"/>
      </w:pPr>
      <w:r>
        <w:rPr>
          <w:b/>
          <w:sz w:val="20"/>
        </w:rPr>
        <w:t xml:space="preserve">Electrical Design Engineer, Quad Cities Nuclear Generating Station </w:t>
      </w:r>
      <w:r>
        <w:rPr>
          <w:sz w:val="20"/>
        </w:rPr>
        <w:t>(Exelon): plant modifications in an NRC-regulated environment.</w:t>
      </w:r>
    </w:p>
    <w:p>
      <w:pPr>
        <w:pStyle w:val="ListBullet"/>
        <w:spacing w:after="20"/>
        <w:ind w:left="288"/>
      </w:pPr>
      <w:r>
        <w:rPr>
          <w:b/>
          <w:sz w:val="20"/>
        </w:rPr>
        <w:t xml:space="preserve">Managed a 10-person engineering and test lab team; </w:t>
      </w:r>
      <w:r>
        <w:rPr>
          <w:sz w:val="20"/>
        </w:rPr>
        <w:t>prior roles at TE Connectivity and CII Technologies.</w:t>
      </w:r>
    </w:p>
    <w:p>
      <w:pPr>
        <w:pStyle w:val="ListBullet"/>
        <w:spacing w:after="20"/>
        <w:ind w:left="288"/>
      </w:pPr>
      <w:r>
        <w:rPr>
          <w:b/>
          <w:sz w:val="20"/>
        </w:rPr>
        <w:t xml:space="preserve">Standards: </w:t>
      </w:r>
      <w:r>
        <w:rPr>
          <w:sz w:val="20"/>
        </w:rPr>
        <w:t xml:space="preserve">ANSI, IEEE, NEMA </w:t>
      </w:r>
      <w:r>
        <w:rPr>
          <w:i/>
          <w:color w:val="B03A2E"/>
          <w:sz w:val="20"/>
        </w:rPr>
        <w:t>[confirm: add UL / IEC standards you've designed or tested to]</w:t>
      </w:r>
    </w:p>
    <w:p>
      <w:pPr>
        <w:pStyle w:val="ListBullet"/>
        <w:spacing w:after="20"/>
        <w:ind w:left="288"/>
      </w:pPr>
      <w:r>
        <w:rPr>
          <w:b/>
          <w:sz w:val="20"/>
        </w:rPr>
        <w:t xml:space="preserve">Education: </w:t>
      </w:r>
      <w:r>
        <w:rPr>
          <w:sz w:val="20"/>
        </w:rPr>
        <w:t>BS, Electrical Engineering Technology, Northern Illinois University. Graduate coursework in Power Systems Protection.</w:t>
      </w:r>
    </w:p>
    <w:p>
      <w:pPr>
        <w:spacing w:after="40" w:before="140"/>
        <w:pBdr>
          <w:bottom w:val="single" w:sz="6" w:space="1" w:color="1F3A5F"/>
        </w:pBdr>
      </w:pPr>
      <w:r>
        <w:rPr>
          <w:b/>
          <w:i w:val="0"/>
          <w:color w:val="1F3A5F"/>
          <w:sz w:val="21"/>
        </w:rPr>
        <w:t>INDUSTRIES</w:t>
      </w:r>
    </w:p>
    <w:p>
      <w:pPr>
        <w:spacing w:after="0" w:before="0"/>
      </w:pPr>
      <w:r>
        <w:rPr>
          <w:b w:val="0"/>
          <w:i w:val="0"/>
          <w:sz w:val="20"/>
        </w:rPr>
        <w:t>HVAC &amp; residential controls  •  Standby &amp; backup power  •  Utility metering &amp; grid  •  Nuclear power  •  Energy management</w:t>
      </w:r>
    </w:p>
    <w:p>
      <w:pPr>
        <w:spacing w:after="40" w:before="140"/>
        <w:pBdr>
          <w:bottom w:val="single" w:sz="6" w:space="1" w:color="1F3A5F"/>
        </w:pBdr>
      </w:pPr>
      <w:r>
        <w:rPr>
          <w:b/>
          <w:i w:val="0"/>
          <w:color w:val="1F3A5F"/>
          <w:sz w:val="21"/>
        </w:rPr>
        <w:t>ENGAGEMENT OPTIONS</w:t>
      </w:r>
    </w:p>
    <w:p>
      <w:pPr>
        <w:pStyle w:val="ListBullet"/>
        <w:spacing w:after="20"/>
        <w:ind w:left="288"/>
      </w:pPr>
      <w:r>
        <w:rPr>
          <w:b/>
          <w:sz w:val="20"/>
        </w:rPr>
        <w:t xml:space="preserve">Advisory calls </w:t>
      </w:r>
      <w:r>
        <w:rPr>
          <w:sz w:val="20"/>
        </w:rPr>
        <w:t>(hourly), for quick technical questions or supplier decisions.</w:t>
      </w:r>
    </w:p>
    <w:p>
      <w:pPr>
        <w:pStyle w:val="ListBullet"/>
        <w:spacing w:after="20"/>
        <w:ind w:left="288"/>
      </w:pPr>
      <w:r>
        <w:rPr>
          <w:b/>
          <w:sz w:val="20"/>
        </w:rPr>
        <w:t xml:space="preserve">Fixed-scope projects: </w:t>
      </w:r>
      <w:r>
        <w:rPr>
          <w:sz w:val="20"/>
        </w:rPr>
        <w:t>specification package, failure-analysis report, or supplier/part comparison.</w:t>
      </w:r>
    </w:p>
    <w:p>
      <w:pPr>
        <w:pStyle w:val="ListBullet"/>
        <w:spacing w:after="20"/>
        <w:ind w:left="288"/>
      </w:pPr>
      <w:r>
        <w:rPr>
          <w:b/>
          <w:sz w:val="20"/>
        </w:rPr>
        <w:t xml:space="preserve">Monthly retainer </w:t>
      </w:r>
      <w:r>
        <w:rPr>
          <w:sz w:val="20"/>
        </w:rPr>
        <w:t>for ongoing component engineering support.</w:t>
      </w:r>
    </w:p>
    <w:p>
      <w:pPr>
        <w:spacing w:after="0" w:before="80"/>
      </w:pPr>
      <w:r>
        <w:rPr>
          <w:b/>
        </w:rPr>
        <w:t xml:space="preserve">Availability: </w:t>
      </w:r>
      <w:r>
        <w:rPr>
          <w:i/>
          <w:color w:val="B03A2E"/>
        </w:rPr>
        <w:t>[confirm: start date and capacity after reviewing your current employment agreements]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