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0544" w14:textId="77DA9E98" w:rsidR="00A87998" w:rsidRPr="00317E19" w:rsidRDefault="00A87998" w:rsidP="00140E80">
      <w:pPr>
        <w:pStyle w:val="Heading2"/>
      </w:pPr>
      <w:r w:rsidRPr="00317E19">
        <w:t>Biomass estimation and dynamics (8.5 A&amp;IFFD P353) [Mike]</w:t>
      </w:r>
    </w:p>
    <w:p w14:paraId="671FBFF7" w14:textId="13EE7785" w:rsidR="00A87998" w:rsidRDefault="00A87998" w:rsidP="00A87998">
      <w:pPr>
        <w:pStyle w:val="Heading3"/>
      </w:pPr>
      <w:r w:rsidRPr="00317E19">
        <w:t>Direct methods (N x mean w) (8.5 A&amp;IFFD P357)</w:t>
      </w:r>
    </w:p>
    <w:p w14:paraId="3E6BD394" w14:textId="3C6D9AA0" w:rsidR="00317E19" w:rsidRPr="00317E19" w:rsidRDefault="00317E19" w:rsidP="00317E19">
      <w:proofErr w:type="spellStart"/>
      <w:r>
        <w:t>asd</w:t>
      </w:r>
      <w:proofErr w:type="spellEnd"/>
    </w:p>
    <w:p w14:paraId="2DBA6257" w14:textId="53D1C30A" w:rsidR="00A87998" w:rsidRDefault="00A87998" w:rsidP="00A87998">
      <w:pPr>
        <w:pStyle w:val="Heading3"/>
      </w:pPr>
      <w:r w:rsidRPr="00317E19">
        <w:t>Estimates from fishery catch (8.5 A&amp;IFFD P353)</w:t>
      </w:r>
    </w:p>
    <w:p w14:paraId="31344B72" w14:textId="413F6D52" w:rsidR="00317E19" w:rsidRPr="00317E19" w:rsidRDefault="00317E19" w:rsidP="00317E19">
      <w:proofErr w:type="spellStart"/>
      <w:r>
        <w:t>asdf</w:t>
      </w:r>
      <w:proofErr w:type="spellEnd"/>
    </w:p>
    <w:p w14:paraId="516A543F" w14:textId="3951C758" w:rsidR="00A87998" w:rsidRDefault="00A87998" w:rsidP="00A87998">
      <w:pPr>
        <w:pStyle w:val="Heading3"/>
      </w:pPr>
      <w:r w:rsidRPr="00317E19">
        <w:t>Modeling approaches-mass balance of Ecopath equations</w:t>
      </w:r>
    </w:p>
    <w:p w14:paraId="11594BAB" w14:textId="0FA0E744" w:rsidR="00317E19" w:rsidRDefault="005D34B7" w:rsidP="00317E19">
      <w:proofErr w:type="spellStart"/>
      <w:r>
        <w:t>A</w:t>
      </w:r>
      <w:r w:rsidR="00317E19">
        <w:t>sdf</w:t>
      </w:r>
      <w:proofErr w:type="spellEnd"/>
    </w:p>
    <w:p w14:paraId="6DA1638B" w14:textId="1CDDC97C" w:rsidR="005D34B7" w:rsidRDefault="005D34B7" w:rsidP="00317E19">
      <w:r>
        <w:t xml:space="preserve">Instantaneous rates </w:t>
      </w:r>
    </w:p>
    <w:p w14:paraId="3AEEEB9E" w14:textId="77777777" w:rsidR="005D34B7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 xml:space="preserve">One of the major differences you will run into when comparing fisheries to any terrestrial counterpart is the use of instantaneous rates. Instantaneous rates are applied over very 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>small time</w:t>
      </w:r>
      <w:proofErr w:type="gramEnd"/>
      <w:r w:rsidRPr="009D7E54">
        <w:rPr>
          <w:rFonts w:ascii="Times New Roman" w:hAnsi="Times New Roman" w:cs="Times New Roman"/>
          <w:sz w:val="24"/>
          <w:szCs w:val="24"/>
        </w:rPr>
        <w:t xml:space="preserve"> increments (i.e., dt </w:t>
      </w:r>
      <w:r w:rsidRPr="009D7E5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7E54">
        <w:rPr>
          <w:rFonts w:ascii="Times New Roman" w:hAnsi="Times New Roman" w:cs="Times New Roman"/>
          <w:sz w:val="24"/>
          <w:szCs w:val="24"/>
        </w:rPr>
        <w:t>0).  The differences between instantaneous and finite rates is further complicated by the fact that as both types of rates approach 0 they become more and more similar in value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5E6525">
        <w:rPr>
          <w:rFonts w:ascii="Times New Roman" w:hAnsi="Times New Roman" w:cs="Times New Roman"/>
          <w:b/>
          <w:sz w:val="24"/>
          <w:szCs w:val="24"/>
        </w:rPr>
        <w:t>Finite rates are what you are most likely used to, like the population decreased 30% from one year to the next</w:t>
      </w:r>
      <w:proofErr w:type="gramStart"/>
      <w:r w:rsidRPr="005E65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 w:rsidRPr="009D7E54">
        <w:rPr>
          <w:rFonts w:ascii="Times New Roman" w:hAnsi="Times New Roman" w:cs="Times New Roman"/>
          <w:sz w:val="24"/>
          <w:szCs w:val="24"/>
        </w:rPr>
        <w:t>ates can be converted from instantaneous to finite and back again using the equations below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r w:rsidRPr="009D7E54">
        <w:rPr>
          <w:rFonts w:ascii="Times New Roman" w:hAnsi="Times New Roman" w:cs="Times New Roman"/>
          <w:sz w:val="24"/>
          <w:szCs w:val="24"/>
        </w:rPr>
        <w:t xml:space="preserve">n the example above the intrinsic </w:t>
      </w:r>
      <w:r>
        <w:rPr>
          <w:rFonts w:ascii="Times New Roman" w:hAnsi="Times New Roman" w:cs="Times New Roman"/>
          <w:sz w:val="24"/>
          <w:szCs w:val="24"/>
        </w:rPr>
        <w:t xml:space="preserve">instantaneous </w:t>
      </w:r>
      <w:r w:rsidRPr="009D7E54">
        <w:rPr>
          <w:rFonts w:ascii="Times New Roman" w:hAnsi="Times New Roman" w:cs="Times New Roman"/>
          <w:sz w:val="24"/>
          <w:szCs w:val="24"/>
        </w:rPr>
        <w:t xml:space="preserve">growth rate was 0.3.  </w:t>
      </w:r>
    </w:p>
    <w:p w14:paraId="7AD1DEBE" w14:textId="77777777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Instantaneous rates can be converted to finites rates using the equation and example below. </w:t>
      </w:r>
    </w:p>
    <w:p w14:paraId="605B10C3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position w:val="-46"/>
          <w:sz w:val="24"/>
          <w:szCs w:val="24"/>
        </w:rPr>
        <w:object w:dxaOrig="2700" w:dyaOrig="1120" w14:anchorId="64BC5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5.7pt;height:56.2pt" o:ole="">
            <v:imagedata r:id="rId5" o:title=""/>
          </v:shape>
          <o:OLEObject Type="Embed" ProgID="Equation.DSMT4" ShapeID="_x0000_i1034" DrawAspect="Content" ObjectID="_1662209091" r:id="rId6"/>
        </w:object>
      </w:r>
      <w:r w:rsidRPr="009D7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EFEDB" w14:textId="77777777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 xml:space="preserve">To convert the finite rate back to an instantaneous rate simply use the equation:   </w:t>
      </w:r>
    </w:p>
    <w:p w14:paraId="0EA3CE42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FD1CE1">
        <w:rPr>
          <w:rFonts w:ascii="Times New Roman" w:hAnsi="Times New Roman" w:cs="Times New Roman"/>
          <w:position w:val="-46"/>
          <w:sz w:val="24"/>
          <w:szCs w:val="24"/>
        </w:rPr>
        <w:object w:dxaOrig="3680" w:dyaOrig="1040" w14:anchorId="277D5435">
          <v:shape id="_x0000_i1035" type="#_x0000_t75" style="width:186pt;height:54pt" o:ole="">
            <v:imagedata r:id="rId7" o:title=""/>
          </v:shape>
          <o:OLEObject Type="Embed" ProgID="Equation.DSMT4" ShapeID="_x0000_i1035" DrawAspect="Content" ObjectID="_1662209092" r:id="rId8"/>
        </w:object>
      </w:r>
    </w:p>
    <w:p w14:paraId="3D2C8461" w14:textId="77777777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Let’s explore this property</w:t>
      </w:r>
      <w:r>
        <w:rPr>
          <w:rFonts w:ascii="Times New Roman" w:hAnsi="Times New Roman" w:cs="Times New Roman"/>
          <w:sz w:val="24"/>
          <w:szCs w:val="24"/>
        </w:rPr>
        <w:t xml:space="preserve"> and consequences</w:t>
      </w:r>
      <w:r w:rsidRPr="009D7E54">
        <w:rPr>
          <w:rFonts w:ascii="Times New Roman" w:hAnsi="Times New Roman" w:cs="Times New Roman"/>
          <w:sz w:val="24"/>
          <w:szCs w:val="24"/>
        </w:rPr>
        <w:t xml:space="preserve"> to get a better feel for the </w:t>
      </w:r>
      <w:r w:rsidRPr="004065D2">
        <w:rPr>
          <w:rFonts w:ascii="Times New Roman" w:hAnsi="Times New Roman" w:cs="Times New Roman"/>
          <w:sz w:val="24"/>
          <w:szCs w:val="24"/>
          <w:u w:val="single"/>
        </w:rPr>
        <w:t>subtle</w:t>
      </w:r>
      <w:r w:rsidRPr="009D7E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 important </w:t>
      </w:r>
      <w:r w:rsidRPr="009D7E54">
        <w:rPr>
          <w:rFonts w:ascii="Times New Roman" w:hAnsi="Times New Roman" w:cs="Times New Roman"/>
          <w:sz w:val="24"/>
          <w:szCs w:val="24"/>
        </w:rPr>
        <w:t>difference between instantaneous and finite rates and why using the right one is important with the following exercise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9D7E54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9D7E54">
        <w:rPr>
          <w:rFonts w:ascii="Times New Roman" w:hAnsi="Times New Roman" w:cs="Times New Roman"/>
          <w:sz w:val="24"/>
          <w:szCs w:val="24"/>
        </w:rPr>
        <w:t xml:space="preserve"> you built in </w:t>
      </w:r>
      <w:r w:rsidRPr="004065D2">
        <w:rPr>
          <w:rFonts w:ascii="Times New Roman" w:hAnsi="Times New Roman" w:cs="Times New Roman"/>
          <w:sz w:val="24"/>
          <w:szCs w:val="24"/>
          <w:u w:val="single"/>
        </w:rPr>
        <w:t>exercise 1</w:t>
      </w:r>
      <w:r w:rsidRPr="009D7E54">
        <w:rPr>
          <w:rFonts w:ascii="Times New Roman" w:hAnsi="Times New Roman" w:cs="Times New Roman"/>
          <w:sz w:val="24"/>
          <w:szCs w:val="24"/>
        </w:rPr>
        <w:t xml:space="preserve"> perform the following steps (Note. Feel free to reference the video tutorial to do any of the steps</w:t>
      </w:r>
      <w:r>
        <w:rPr>
          <w:rFonts w:ascii="Times New Roman" w:hAnsi="Times New Roman" w:cs="Times New Roman"/>
          <w:sz w:val="24"/>
          <w:szCs w:val="24"/>
        </w:rPr>
        <w:t xml:space="preserve"> and recall the intrinsic growth rate was 0.3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abundance was 10</w:t>
      </w:r>
      <w:r w:rsidRPr="009D7E54">
        <w:rPr>
          <w:rFonts w:ascii="Times New Roman" w:hAnsi="Times New Roman" w:cs="Times New Roman"/>
          <w:sz w:val="24"/>
          <w:szCs w:val="24"/>
        </w:rPr>
        <w:t xml:space="preserve">):    </w:t>
      </w:r>
    </w:p>
    <w:p w14:paraId="6FDF653C" w14:textId="77777777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1) Open the run specs for the model (Run</w:t>
      </w:r>
      <w:r w:rsidRPr="009D7E5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E5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D7E54">
        <w:rPr>
          <w:rFonts w:ascii="Times New Roman" w:hAnsi="Times New Roman" w:cs="Times New Roman"/>
          <w:sz w:val="24"/>
          <w:szCs w:val="24"/>
        </w:rPr>
        <w:t xml:space="preserve"> Specs or ALT+CTL+R) and make sure that the </w:t>
      </w:r>
      <w:r w:rsidRPr="009D7E54">
        <w:rPr>
          <w:rFonts w:ascii="Times New Roman" w:hAnsi="Times New Roman" w:cs="Times New Roman"/>
          <w:i/>
          <w:sz w:val="24"/>
          <w:szCs w:val="24"/>
        </w:rPr>
        <w:t>dt</w:t>
      </w:r>
      <w:r w:rsidRPr="009D7E54">
        <w:rPr>
          <w:rFonts w:ascii="Times New Roman" w:hAnsi="Times New Roman" w:cs="Times New Roman"/>
          <w:sz w:val="24"/>
          <w:szCs w:val="24"/>
        </w:rPr>
        <w:t xml:space="preserve"> is set to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D7E54">
        <w:rPr>
          <w:rFonts w:ascii="Times New Roman" w:hAnsi="Times New Roman" w:cs="Times New Roman"/>
          <w:sz w:val="24"/>
          <w:szCs w:val="24"/>
        </w:rPr>
        <w:t xml:space="preserve">1 and the years to run is set to 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>10, and</w:t>
      </w:r>
      <w:proofErr w:type="gramEnd"/>
      <w:r w:rsidRPr="009D7E54">
        <w:rPr>
          <w:rFonts w:ascii="Times New Roman" w:hAnsi="Times New Roman" w:cs="Times New Roman"/>
          <w:sz w:val="24"/>
          <w:szCs w:val="24"/>
        </w:rPr>
        <w:t xml:space="preserve"> press OK.  </w:t>
      </w:r>
    </w:p>
    <w:p w14:paraId="683BB37E" w14:textId="77777777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 xml:space="preserve">2) Be sure to set </w:t>
      </w:r>
      <w:r w:rsidRPr="009D7E54">
        <w:rPr>
          <w:rFonts w:ascii="Times New Roman" w:hAnsi="Times New Roman" w:cs="Times New Roman"/>
          <w:i/>
          <w:sz w:val="24"/>
          <w:szCs w:val="24"/>
        </w:rPr>
        <w:t xml:space="preserve">intrinsic growth rate </w:t>
      </w:r>
      <w:r w:rsidRPr="009D7E54">
        <w:rPr>
          <w:rFonts w:ascii="Times New Roman" w:hAnsi="Times New Roman" w:cs="Times New Roman"/>
          <w:sz w:val="24"/>
          <w:szCs w:val="24"/>
        </w:rPr>
        <w:t>= 0.3 and press CTL+R to run the model and record the biomass at the end of the simulation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4065D2">
        <w:rPr>
          <w:rFonts w:ascii="Times New Roman" w:hAnsi="Times New Roman" w:cs="Times New Roman"/>
          <w:sz w:val="24"/>
          <w:szCs w:val="24"/>
          <w:u w:val="single"/>
        </w:rPr>
        <w:t>This will be the last row in the data pad in STELLA</w: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</w:p>
    <w:p w14:paraId="5561DCFC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Abundance (t = 1):  __________</w:t>
      </w:r>
    </w:p>
    <w:p w14:paraId="2667A530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Abundance (t = 5):  __________</w:t>
      </w:r>
    </w:p>
    <w:p w14:paraId="7138DCA7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lastRenderedPageBreak/>
        <w:t xml:space="preserve">Abundance (t = Final):  __________  </w:t>
      </w:r>
    </w:p>
    <w:p w14:paraId="2D75F80B" w14:textId="77777777" w:rsidR="005D34B7" w:rsidRPr="00586871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86871">
        <w:rPr>
          <w:rFonts w:ascii="Times New Roman" w:hAnsi="Times New Roman" w:cs="Times New Roman"/>
          <w:sz w:val="24"/>
          <w:szCs w:val="24"/>
        </w:rPr>
        <w:t xml:space="preserve">3) Repeat steps 1 and 2 </w:t>
      </w:r>
      <w:r w:rsidRPr="00744CA3">
        <w:rPr>
          <w:rFonts w:ascii="Times New Roman" w:hAnsi="Times New Roman" w:cs="Times New Roman"/>
          <w:sz w:val="24"/>
          <w:szCs w:val="24"/>
          <w:u w:val="single"/>
        </w:rPr>
        <w:t xml:space="preserve">but set </w:t>
      </w:r>
      <w:r w:rsidRPr="00744CA3">
        <w:rPr>
          <w:rFonts w:ascii="Times New Roman" w:hAnsi="Times New Roman" w:cs="Times New Roman"/>
          <w:i/>
          <w:sz w:val="24"/>
          <w:szCs w:val="24"/>
          <w:u w:val="single"/>
        </w:rPr>
        <w:t>dt</w:t>
      </w:r>
      <w:r w:rsidRPr="00744CA3">
        <w:rPr>
          <w:rFonts w:ascii="Times New Roman" w:hAnsi="Times New Roman" w:cs="Times New Roman"/>
          <w:sz w:val="24"/>
          <w:szCs w:val="24"/>
          <w:u w:val="single"/>
        </w:rPr>
        <w:t xml:space="preserve"> to 1</w:t>
      </w:r>
      <w:r w:rsidRPr="00586871">
        <w:rPr>
          <w:rFonts w:ascii="Times New Roman" w:hAnsi="Times New Roman" w:cs="Times New Roman"/>
          <w:sz w:val="24"/>
          <w:szCs w:val="24"/>
        </w:rPr>
        <w:t xml:space="preserve"> and record the following from the data pad.</w:t>
      </w:r>
    </w:p>
    <w:p w14:paraId="21B97DC3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86871">
        <w:rPr>
          <w:rFonts w:ascii="Times New Roman" w:hAnsi="Times New Roman" w:cs="Times New Roman"/>
          <w:sz w:val="24"/>
          <w:szCs w:val="24"/>
        </w:rPr>
        <w:t>Abundance (t = 1):  __________</w:t>
      </w:r>
    </w:p>
    <w:p w14:paraId="641A6B6B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Abundance (t = 5):  __________</w:t>
      </w:r>
    </w:p>
    <w:p w14:paraId="6497CFF2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 xml:space="preserve">Abundance (t = Final):  __________  </w:t>
      </w:r>
    </w:p>
    <w:p w14:paraId="2F115C38" w14:textId="77777777" w:rsidR="005D34B7" w:rsidRPr="009D7E54" w:rsidRDefault="005D34B7" w:rsidP="005D34B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4) Now let’s see what happens when instantaneous and finite rates are treated appropriately by correctly applying</w:t>
      </w:r>
      <w:r>
        <w:rPr>
          <w:rFonts w:ascii="Times New Roman" w:hAnsi="Times New Roman" w:cs="Times New Roman"/>
          <w:sz w:val="24"/>
          <w:szCs w:val="24"/>
        </w:rPr>
        <w:t xml:space="preserve"> rate and</w:t>
      </w:r>
      <w:r w:rsidRPr="009D7E54">
        <w:rPr>
          <w:rFonts w:ascii="Times New Roman" w:hAnsi="Times New Roman" w:cs="Times New Roman"/>
          <w:sz w:val="24"/>
          <w:szCs w:val="24"/>
        </w:rPr>
        <w:t xml:space="preserve"> </w:t>
      </w:r>
      <w:r w:rsidRPr="009D7E54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0E1446DB">
          <v:shape id="_x0000_i1036" type="#_x0000_t75" style="width:12pt;height:12pt" o:ole="">
            <v:imagedata r:id="rId9" o:title=""/>
          </v:shape>
          <o:OLEObject Type="Embed" ProgID="Equation.DSMT4" ShapeID="_x0000_i1036" DrawAspect="Content" ObjectID="_1662209093" r:id="rId10"/>
        </w:object>
      </w:r>
      <w:proofErr w:type="gramStart"/>
      <w:r w:rsidRPr="009D7E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9D7E54">
        <w:rPr>
          <w:rFonts w:ascii="Times New Roman" w:hAnsi="Times New Roman" w:cs="Times New Roman"/>
          <w:b/>
          <w:sz w:val="24"/>
          <w:szCs w:val="24"/>
        </w:rPr>
        <w:t xml:space="preserve">Be sure to set </w:t>
      </w:r>
      <w:r w:rsidRPr="009D7E54">
        <w:rPr>
          <w:rFonts w:ascii="Times New Roman" w:hAnsi="Times New Roman" w:cs="Times New Roman"/>
          <w:b/>
          <w:i/>
          <w:sz w:val="24"/>
          <w:szCs w:val="24"/>
        </w:rPr>
        <w:t xml:space="preserve">intrinsic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finite </w:t>
      </w:r>
      <w:r w:rsidRPr="009D7E54">
        <w:rPr>
          <w:rFonts w:ascii="Times New Roman" w:hAnsi="Times New Roman" w:cs="Times New Roman"/>
          <w:b/>
          <w:i/>
          <w:sz w:val="24"/>
          <w:szCs w:val="24"/>
        </w:rPr>
        <w:t xml:space="preserve">growth rate </w:t>
      </w:r>
      <w:r w:rsidRPr="009D7E54">
        <w:rPr>
          <w:rFonts w:ascii="Times New Roman" w:hAnsi="Times New Roman" w:cs="Times New Roman"/>
          <w:b/>
          <w:sz w:val="24"/>
          <w:szCs w:val="24"/>
        </w:rPr>
        <w:t>= 0.</w:t>
      </w:r>
      <w:r w:rsidRPr="004643FB">
        <w:t xml:space="preserve"> </w:t>
      </w:r>
      <w:r w:rsidRPr="004643FB">
        <w:rPr>
          <w:rFonts w:ascii="Times New Roman" w:hAnsi="Times New Roman" w:cs="Times New Roman"/>
          <w:b/>
          <w:sz w:val="24"/>
          <w:szCs w:val="24"/>
        </w:rPr>
        <w:t>349859</w:t>
      </w:r>
      <w:r w:rsidRPr="009D7E54">
        <w:rPr>
          <w:rFonts w:ascii="Times New Roman" w:hAnsi="Times New Roman" w:cs="Times New Roman"/>
          <w:sz w:val="24"/>
          <w:szCs w:val="24"/>
        </w:rPr>
        <w:t xml:space="preserve"> </w:t>
      </w:r>
      <w:r w:rsidRPr="009D7E54">
        <w:rPr>
          <w:rFonts w:ascii="Times New Roman" w:hAnsi="Times New Roman" w:cs="Times New Roman"/>
          <w:b/>
          <w:sz w:val="24"/>
          <w:szCs w:val="24"/>
        </w:rPr>
        <w:t>and press CTL+R</w:t>
      </w:r>
      <w:r w:rsidRPr="009D7E54">
        <w:rPr>
          <w:rFonts w:ascii="Times New Roman" w:hAnsi="Times New Roman" w:cs="Times New Roman"/>
          <w:sz w:val="24"/>
          <w:szCs w:val="24"/>
        </w:rPr>
        <w:t xml:space="preserve"> (</w:t>
      </w:r>
      <w:r w:rsidRPr="009D7E54">
        <w:rPr>
          <w:rFonts w:ascii="Times New Roman" w:hAnsi="Times New Roman" w:cs="Times New Roman"/>
          <w:i/>
          <w:sz w:val="24"/>
          <w:szCs w:val="24"/>
        </w:rPr>
        <w:t xml:space="preserve">Recall you set </w:t>
      </w:r>
      <w:r w:rsidRPr="00744CA3">
        <w:rPr>
          <w:rFonts w:ascii="Times New Roman" w:hAnsi="Times New Roman" w:cs="Times New Roman"/>
          <w:i/>
          <w:sz w:val="24"/>
          <w:szCs w:val="24"/>
          <w:u w:val="single"/>
        </w:rPr>
        <w:t xml:space="preserve">dt to 1 in the </w:t>
      </w:r>
      <w:proofErr w:type="gramStart"/>
      <w:r w:rsidRPr="00744CA3">
        <w:rPr>
          <w:rFonts w:ascii="Times New Roman" w:hAnsi="Times New Roman" w:cs="Times New Roman"/>
          <w:i/>
          <w:sz w:val="24"/>
          <w:szCs w:val="24"/>
          <w:u w:val="single"/>
        </w:rPr>
        <w:t>previous</w:t>
      </w:r>
      <w:proofErr w:type="gramEnd"/>
      <w:r w:rsidRPr="00744CA3">
        <w:rPr>
          <w:rFonts w:ascii="Times New Roman" w:hAnsi="Times New Roman" w:cs="Times New Roman"/>
          <w:i/>
          <w:sz w:val="24"/>
          <w:szCs w:val="24"/>
          <w:u w:val="single"/>
        </w:rPr>
        <w:t xml:space="preserve"> exercise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, do that here too!</w:t>
      </w:r>
      <w:r w:rsidRPr="009D7E54">
        <w:rPr>
          <w:rFonts w:ascii="Times New Roman" w:hAnsi="Times New Roman" w:cs="Times New Roman"/>
          <w:sz w:val="24"/>
          <w:szCs w:val="24"/>
        </w:rPr>
        <w:t>) to run the model and record the following from the data pad.</w:t>
      </w:r>
    </w:p>
    <w:p w14:paraId="480B9A00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Abundance (t = 1):  __________</w:t>
      </w:r>
    </w:p>
    <w:p w14:paraId="001FBAAF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Abundance (t = 5):  __________</w:t>
      </w:r>
    </w:p>
    <w:p w14:paraId="5C498664" w14:textId="77777777" w:rsidR="005D34B7" w:rsidRPr="009D7E54" w:rsidRDefault="005D34B7" w:rsidP="005D34B7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sz w:val="24"/>
          <w:szCs w:val="24"/>
        </w:rPr>
        <w:t>Abundance (t = Final):  __________</w:t>
      </w:r>
    </w:p>
    <w:p w14:paraId="03875E16" w14:textId="0BB59ABA" w:rsidR="005D34B7" w:rsidRPr="00317E19" w:rsidRDefault="005D34B7" w:rsidP="005D34B7">
      <w:r>
        <w:rPr>
          <w:rFonts w:ascii="Times New Roman" w:hAnsi="Times New Roman" w:cs="Times New Roman"/>
          <w:sz w:val="24"/>
          <w:szCs w:val="24"/>
        </w:rPr>
        <w:t>5) Save the model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hAnsi="Times New Roman" w:cs="Times New Roman"/>
          <w:sz w:val="24"/>
          <w:szCs w:val="24"/>
        </w:rPr>
        <w:t>File</w:t>
      </w:r>
      <w:r w:rsidRPr="00EF74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Save.</w:t>
      </w:r>
    </w:p>
    <w:p w14:paraId="772ED2B2" w14:textId="3A4D9A22" w:rsidR="00A87998" w:rsidRDefault="00A87998" w:rsidP="00A87998">
      <w:pPr>
        <w:pStyle w:val="Heading3"/>
      </w:pPr>
      <w:r w:rsidRPr="00317E19">
        <w:t>Biomass dynamic models: surplus production models</w:t>
      </w:r>
    </w:p>
    <w:p w14:paraId="01452979" w14:textId="62E72BF4" w:rsidR="00140E80" w:rsidRPr="00317E19" w:rsidRDefault="00A87998" w:rsidP="00140E80">
      <w:pPr>
        <w:pStyle w:val="Heading4"/>
      </w:pPr>
      <w:r w:rsidRPr="00317E19">
        <w:t>Models</w:t>
      </w:r>
      <w:bookmarkStart w:id="0" w:name="_GoBack"/>
      <w:bookmarkEnd w:id="0"/>
    </w:p>
    <w:p w14:paraId="2FE9F242" w14:textId="40923231" w:rsidR="00317E19" w:rsidRDefault="00317E19" w:rsidP="00140E80">
      <w:pPr>
        <w:pStyle w:val="Heading5"/>
      </w:pPr>
      <w:r>
        <w:t>Exponential</w:t>
      </w:r>
    </w:p>
    <w:p w14:paraId="68B7D963" w14:textId="77777777" w:rsidR="00872303" w:rsidRDefault="00872303" w:rsidP="00317E19">
      <w:r w:rsidRPr="00872303">
        <w:rPr>
          <w:position w:val="-24"/>
        </w:rPr>
        <w:object w:dxaOrig="1800" w:dyaOrig="620" w14:anchorId="3031B378">
          <v:shape id="_x0000_i1025" type="#_x0000_t75" style="width:90pt;height:30pt" o:ole="">
            <v:imagedata r:id="rId11" o:title=""/>
          </v:shape>
          <o:OLEObject Type="Embed" ProgID="Equation.DSMT4" ShapeID="_x0000_i1025" DrawAspect="Content" ObjectID="_1662209094" r:id="rId12"/>
        </w:object>
      </w:r>
    </w:p>
    <w:p w14:paraId="439C67C7" w14:textId="701B9164" w:rsidR="00317E19" w:rsidRDefault="00317E19" w:rsidP="00317E19"/>
    <w:p w14:paraId="6CA58EC7" w14:textId="2E99D7B6" w:rsidR="00872303" w:rsidRPr="00317E19" w:rsidRDefault="00872303" w:rsidP="00317E19">
      <w:r w:rsidRPr="00872303">
        <w:rPr>
          <w:position w:val="-14"/>
        </w:rPr>
        <w:object w:dxaOrig="5560" w:dyaOrig="400" w14:anchorId="779C7940">
          <v:shape id="_x0000_i1026" type="#_x0000_t75" style="width:276pt;height:18pt" o:ole="">
            <v:imagedata r:id="rId13" o:title=""/>
          </v:shape>
          <o:OLEObject Type="Embed" ProgID="Equation.DSMT4" ShapeID="_x0000_i1026" DrawAspect="Content" ObjectID="_1662209095" r:id="rId14"/>
        </w:object>
      </w:r>
      <w:r>
        <w:t xml:space="preserve"> </w:t>
      </w:r>
    </w:p>
    <w:p w14:paraId="5D49AFCE" w14:textId="28C9E0DE" w:rsidR="00140E80" w:rsidRDefault="00A87998" w:rsidP="00140E80">
      <w:pPr>
        <w:pStyle w:val="Heading5"/>
      </w:pPr>
      <w:r w:rsidRPr="00317E19">
        <w:t>Graham-Schaefer</w:t>
      </w:r>
    </w:p>
    <w:p w14:paraId="63C45C8B" w14:textId="7F1F2DAA" w:rsidR="00872303" w:rsidRDefault="00872303" w:rsidP="00872303"/>
    <w:p w14:paraId="6A27C58C" w14:textId="2935172E" w:rsidR="00872303" w:rsidRDefault="00872303" w:rsidP="00872303">
      <w:r w:rsidRPr="00872303">
        <w:rPr>
          <w:position w:val="-24"/>
        </w:rPr>
        <w:object w:dxaOrig="1840" w:dyaOrig="620" w14:anchorId="25374D91">
          <v:shape id="_x0000_i1027" type="#_x0000_t75" style="width:90pt;height:30pt" o:ole="">
            <v:imagedata r:id="rId15" o:title=""/>
          </v:shape>
          <o:OLEObject Type="Embed" ProgID="Equation.DSMT4" ShapeID="_x0000_i1027" DrawAspect="Content" ObjectID="_1662209096" r:id="rId16"/>
        </w:object>
      </w:r>
      <w:r>
        <w:t xml:space="preserve"> </w:t>
      </w:r>
    </w:p>
    <w:p w14:paraId="2E26C398" w14:textId="67AFA8B0" w:rsidR="00872303" w:rsidRDefault="00872303" w:rsidP="00872303">
      <w:r w:rsidRPr="00872303">
        <w:rPr>
          <w:position w:val="-28"/>
        </w:rPr>
        <w:object w:dxaOrig="2960" w:dyaOrig="680" w14:anchorId="6BF900FE">
          <v:shape id="_x0000_i1028" type="#_x0000_t75" style="width:150pt;height:36pt" o:ole="">
            <v:imagedata r:id="rId17" o:title=""/>
          </v:shape>
          <o:OLEObject Type="Embed" ProgID="Equation.DSMT4" ShapeID="_x0000_i1028" DrawAspect="Content" ObjectID="_1662209097" r:id="rId18"/>
        </w:object>
      </w:r>
      <w:r>
        <w:t xml:space="preserve"> </w:t>
      </w:r>
    </w:p>
    <w:p w14:paraId="1801EC7C" w14:textId="2FB1D731" w:rsidR="00872303" w:rsidRDefault="00872303" w:rsidP="00872303"/>
    <w:p w14:paraId="7AAEB4A8" w14:textId="77777777" w:rsidR="00447AD9" w:rsidRPr="00872303" w:rsidRDefault="00447AD9" w:rsidP="00872303"/>
    <w:p w14:paraId="321D4734" w14:textId="4780E604" w:rsidR="00140E80" w:rsidRDefault="00872303" w:rsidP="00140E80">
      <w:pPr>
        <w:pStyle w:val="Heading5"/>
      </w:pPr>
      <w:r>
        <w:t>Fox model</w:t>
      </w:r>
    </w:p>
    <w:p w14:paraId="4D3C5241" w14:textId="61239653" w:rsidR="00317E19" w:rsidRDefault="00317E19" w:rsidP="00317E19"/>
    <w:p w14:paraId="3FE68683" w14:textId="4C56E01B" w:rsidR="00872303" w:rsidRDefault="00872303" w:rsidP="00317E19">
      <w:r w:rsidRPr="00872303">
        <w:rPr>
          <w:position w:val="-28"/>
        </w:rPr>
        <w:object w:dxaOrig="1920" w:dyaOrig="680" w14:anchorId="5CBE5162">
          <v:shape id="_x0000_i1029" type="#_x0000_t75" style="width:96pt;height:36pt" o:ole="">
            <v:imagedata r:id="rId19" o:title=""/>
          </v:shape>
          <o:OLEObject Type="Embed" ProgID="Equation.DSMT4" ShapeID="_x0000_i1029" DrawAspect="Content" ObjectID="_1662209098" r:id="rId20"/>
        </w:object>
      </w:r>
      <w:r>
        <w:t xml:space="preserve"> </w:t>
      </w:r>
    </w:p>
    <w:p w14:paraId="1BD79824" w14:textId="1995A63C" w:rsidR="00872303" w:rsidRDefault="00872303" w:rsidP="00317E19">
      <w:r w:rsidRPr="00872303">
        <w:rPr>
          <w:position w:val="-30"/>
        </w:rPr>
        <w:object w:dxaOrig="3019" w:dyaOrig="720" w14:anchorId="643245BE">
          <v:shape id="_x0000_i1030" type="#_x0000_t75" style="width:150pt;height:36pt" o:ole="">
            <v:imagedata r:id="rId21" o:title=""/>
          </v:shape>
          <o:OLEObject Type="Embed" ProgID="Equation.DSMT4" ShapeID="_x0000_i1030" DrawAspect="Content" ObjectID="_1662209099" r:id="rId22"/>
        </w:object>
      </w:r>
      <w:r>
        <w:t xml:space="preserve"> </w:t>
      </w:r>
    </w:p>
    <w:p w14:paraId="10921FF3" w14:textId="77777777" w:rsidR="00872303" w:rsidRPr="00317E19" w:rsidRDefault="00872303" w:rsidP="00317E19"/>
    <w:p w14:paraId="5A55E063" w14:textId="1E49E6A7" w:rsidR="00A87998" w:rsidRDefault="00A87998" w:rsidP="00140E80">
      <w:pPr>
        <w:pStyle w:val="Heading5"/>
      </w:pPr>
      <w:r w:rsidRPr="00317E19">
        <w:t>Pella-Tomlinson</w:t>
      </w:r>
    </w:p>
    <w:p w14:paraId="1422655E" w14:textId="0E7CCB0A" w:rsidR="00317E19" w:rsidRDefault="00447AD9" w:rsidP="00317E19">
      <w:r w:rsidRPr="00447AD9">
        <w:rPr>
          <w:position w:val="-28"/>
        </w:rPr>
        <w:object w:dxaOrig="2140" w:dyaOrig="740" w14:anchorId="59E9245C">
          <v:shape id="_x0000_i1031" type="#_x0000_t75" style="width:108pt;height:36pt" o:ole="">
            <v:imagedata r:id="rId23" o:title=""/>
          </v:shape>
          <o:OLEObject Type="Embed" ProgID="Equation.DSMT4" ShapeID="_x0000_i1031" DrawAspect="Content" ObjectID="_1662209100" r:id="rId24"/>
        </w:object>
      </w:r>
      <w:r w:rsidR="00F22576">
        <w:t xml:space="preserve"> </w:t>
      </w:r>
      <w:r w:rsidR="00F22576">
        <w:fldChar w:fldCharType="begin"/>
      </w:r>
      <w:r w:rsidR="00F22576">
        <w:instrText xml:space="preserve"> ADDIN EN.CITE &lt;EndNote&gt;&lt;Cite&gt;&lt;Author&gt;Pella&lt;/Author&gt;&lt;Year&gt;1969&lt;/Year&gt;&lt;RecNum&gt;2694&lt;/RecNum&gt;&lt;DisplayText&gt;(Pella and Tomlinson 1969)&lt;/DisplayText&gt;&lt;record&gt;&lt;rec-number&gt;2694&lt;/rec-number&gt;&lt;foreign-keys&gt;&lt;key app="EN" db-id="tt9r9zwau55dtxedv2kvxfshxwpvwv9x9e9s" timestamp="0"&gt;2694&lt;/key&gt;&lt;/foreign-keys&gt;&lt;ref-type name="Journal Article"&gt;17&lt;/ref-type&gt;&lt;contributors&gt;&lt;authors&gt;&lt;author&gt;J.J. Pella&lt;/author&gt;&lt;author&gt;P.K. Tomlinson&lt;/author&gt;&lt;/authors&gt;&lt;/contributors&gt;&lt;titles&gt;&lt;title&gt;A generalized stock production model&lt;/title&gt;&lt;secondary-title&gt;Bulletin of the Inter-American Tropical Tuna Commission&lt;/secondary-title&gt;&lt;/titles&gt;&lt;periodical&gt;&lt;full-title&gt;Bulletin of the Inter-American Tropical Tuna Commission&lt;/full-title&gt;&lt;/periodical&gt;&lt;pages&gt;421-496&lt;/pages&gt;&lt;volume&gt;13&lt;/volume&gt;&lt;dates&gt;&lt;year&gt;1969&lt;/year&gt;&lt;/dates&gt;&lt;call-num&gt;P192&lt;/call-num&gt;&lt;urls&gt;&lt;/urls&gt;&lt;/record&gt;&lt;/Cite&gt;&lt;/EndNote&gt;</w:instrText>
      </w:r>
      <w:r w:rsidR="00F22576">
        <w:fldChar w:fldCharType="separate"/>
      </w:r>
      <w:r w:rsidR="00F22576">
        <w:rPr>
          <w:noProof/>
        </w:rPr>
        <w:t>(Pella and Tomlinson 1969)</w:t>
      </w:r>
      <w:r w:rsidR="00F22576">
        <w:fldChar w:fldCharType="end"/>
      </w:r>
    </w:p>
    <w:p w14:paraId="65689372" w14:textId="28B61ABD" w:rsidR="00447AD9" w:rsidRDefault="00FC4762" w:rsidP="00447AD9">
      <w:r w:rsidRPr="00872303">
        <w:rPr>
          <w:position w:val="-28"/>
        </w:rPr>
        <w:object w:dxaOrig="2960" w:dyaOrig="680" w14:anchorId="4E3C135D">
          <v:shape id="_x0000_i1032" type="#_x0000_t75" style="width:150pt;height:36pt" o:ole="">
            <v:imagedata r:id="rId25" o:title=""/>
          </v:shape>
          <o:OLEObject Type="Embed" ProgID="Equation.DSMT4" ShapeID="_x0000_i1032" DrawAspect="Content" ObjectID="_1662209101" r:id="rId26"/>
        </w:object>
      </w:r>
      <w:r w:rsidR="00447AD9">
        <w:t xml:space="preserve"> </w:t>
      </w:r>
    </w:p>
    <w:p w14:paraId="5CC86762" w14:textId="77777777" w:rsidR="00FC4762" w:rsidRDefault="00FC4762" w:rsidP="00FC4762">
      <w:r w:rsidRPr="00447AD9">
        <w:t>Theta-logistic (1973)</w:t>
      </w:r>
    </w:p>
    <w:p w14:paraId="0F32FB30" w14:textId="24CCC333" w:rsidR="00FC4762" w:rsidRDefault="00FC4762" w:rsidP="00FC4762">
      <w:r w:rsidRPr="00447AD9">
        <w:rPr>
          <w:position w:val="-28"/>
        </w:rPr>
        <w:object w:dxaOrig="2079" w:dyaOrig="720" w14:anchorId="7C4ACDDC">
          <v:shape id="_x0000_i1033" type="#_x0000_t75" style="width:102pt;height:36pt" o:ole="">
            <v:imagedata r:id="rId27" o:title=""/>
          </v:shape>
          <o:OLEObject Type="Embed" ProgID="Equation.DSMT4" ShapeID="_x0000_i1033" DrawAspect="Content" ObjectID="_1662209102" r:id="rId28"/>
        </w:object>
      </w:r>
      <w:r>
        <w:t xml:space="preserve"> </w:t>
      </w:r>
    </w:p>
    <w:p w14:paraId="2A36DBC6" w14:textId="77777777" w:rsidR="00447AD9" w:rsidRPr="00317E19" w:rsidRDefault="00447AD9" w:rsidP="00317E19"/>
    <w:p w14:paraId="2B8E1B32" w14:textId="3BF6BB67" w:rsidR="00A87998" w:rsidRDefault="00A87998" w:rsidP="00140E80">
      <w:pPr>
        <w:pStyle w:val="Heading4"/>
      </w:pPr>
      <w:r w:rsidRPr="00317E19">
        <w:t>Reference points (e.g., F</w:t>
      </w:r>
      <w:r w:rsidRPr="00317E19">
        <w:rPr>
          <w:vertAlign w:val="subscript"/>
        </w:rPr>
        <w:t>MSY</w:t>
      </w:r>
      <w:r w:rsidRPr="00317E19">
        <w:t>, B</w:t>
      </w:r>
      <w:r w:rsidRPr="00317E19">
        <w:rPr>
          <w:vertAlign w:val="subscript"/>
        </w:rPr>
        <w:t>MSY</w:t>
      </w:r>
      <w:r w:rsidRPr="00317E19">
        <w:t>)</w:t>
      </w:r>
    </w:p>
    <w:p w14:paraId="038031F8" w14:textId="7583E9DF" w:rsidR="00317E19" w:rsidRDefault="00317E19" w:rsidP="00317E19">
      <w:r>
        <w:t>Analytical solutions</w:t>
      </w:r>
    </w:p>
    <w:p w14:paraId="60B00772" w14:textId="609E68A9" w:rsidR="00317E19" w:rsidRDefault="00317E19" w:rsidP="00317E19">
      <w:r>
        <w:t>Simulation solutions</w:t>
      </w:r>
    </w:p>
    <w:p w14:paraId="38220C76" w14:textId="4858E338" w:rsidR="004466CF" w:rsidRDefault="00F22576" w:rsidP="004466CF">
      <w:pPr>
        <w:pStyle w:val="ListParagraph"/>
        <w:numPr>
          <w:ilvl w:val="0"/>
          <w:numId w:val="3"/>
        </w:numPr>
      </w:pPr>
      <w:r>
        <w:t xml:space="preserve">Adding environmental noise lead to more conservative estimates of reference points for the PT and Fox </w:t>
      </w:r>
      <w:r>
        <w:fldChar w:fldCharType="begin"/>
      </w:r>
      <w:r>
        <w:instrText xml:space="preserve"> ADDIN EN.CITE &lt;EndNote&gt;&lt;Cite&gt;&lt;Author&gt;Bordet&lt;/Author&gt;&lt;Year&gt;2014&lt;/Year&gt;&lt;RecNum&gt;5477&lt;/RecNum&gt;&lt;DisplayText&gt;(Bordet and Rivest 2014)&lt;/DisplayText&gt;&lt;record&gt;&lt;rec-number&gt;5477&lt;/rec-number&gt;&lt;foreign-keys&gt;&lt;key app="EN" db-id="tt9r9zwau55dtxedv2kvxfshxwpvwv9x9e9s" timestamp="1600366022"&gt;5477&lt;/key&gt;&lt;/foreign-keys&gt;&lt;ref-type name="Journal Article"&gt;17&lt;/ref-type&gt;&lt;contributors&gt;&lt;authors&gt;&lt;author&gt;Bordet, Charles&lt;/author&gt;&lt;author&gt;Rivest, Louis-Paul&lt;/author&gt;&lt;/authors&gt;&lt;/contributors&gt;&lt;titles&gt;&lt;title&gt;A stochastic Pella Tomlinson model and its maximum sustainable yield&lt;/title&gt;&lt;secondary-title&gt;Journal of Theoretical Biology&lt;/secondary-title&gt;&lt;/titles&gt;&lt;periodical&gt;&lt;full-title&gt;Journal of Theoretical Biology&lt;/full-title&gt;&lt;abbr-1&gt;J Theor Biol&lt;/abbr-1&gt;&lt;/periodical&gt;&lt;pages&gt;46-53&lt;/pages&gt;&lt;volume&gt;360&lt;/volume&gt;&lt;keywords&gt;&lt;keyword&gt;Beta distribution&lt;/keyword&gt;&lt;keyword&gt;Fox model&lt;/keyword&gt;&lt;keyword&gt;Markov chain&lt;/keyword&gt;&lt;keyword&gt;Surplus production model&lt;/keyword&gt;&lt;/keywords&gt;&lt;dates&gt;&lt;year&gt;2014&lt;/year&gt;&lt;pub-dates&gt;&lt;date&gt;11/07/November 2014&lt;/date&gt;&lt;/pub-dates&gt;&lt;/dates&gt;&lt;publisher&gt;Elsevier Ltd&lt;/publisher&gt;&lt;isbn&gt;0022-5193&lt;/isbn&gt;&lt;accession-num&gt;S0022519314003555&lt;/accession-num&gt;&lt;work-type&gt;Article&lt;/work-type&gt;&lt;urls&gt;&lt;related-urls&gt;&lt;url&gt;https://search.ebscohost.com/login.aspx?direct=true&amp;amp;db=edselp&amp;amp;AN=S0022519314003555&amp;amp;authtype=sso&amp;amp;custid=magn1307&amp;amp;site=eds-live&amp;amp;scope=site&amp;amp;custid=magn1307&lt;/url&gt;&lt;/related-urls&gt;&lt;/urls&gt;&lt;electronic-resource-num&gt;10.1016/j.jtbi.2014.06.012&lt;/electronic-resource-num&gt;&lt;remote-database-name&gt;ScienceDirect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(Bordet and Rivest 2014)</w:t>
      </w:r>
      <w:r>
        <w:fldChar w:fldCharType="end"/>
      </w:r>
    </w:p>
    <w:p w14:paraId="1754AD44" w14:textId="752BCB78" w:rsidR="00F22576" w:rsidRDefault="00F22576" w:rsidP="004466CF">
      <w:pPr>
        <w:pStyle w:val="ListParagraph"/>
        <w:numPr>
          <w:ilvl w:val="0"/>
          <w:numId w:val="3"/>
        </w:numPr>
      </w:pPr>
      <w:r>
        <w:t xml:space="preserve">?? </w:t>
      </w:r>
      <w:r>
        <w:fldChar w:fldCharType="begin"/>
      </w:r>
      <w:r>
        <w:instrText xml:space="preserve"> ADDIN EN.CITE &lt;EndNote&gt;&lt;Cite&gt;&lt;Author&gt;Pedersen&lt;/Author&gt;&lt;Year&gt;2017&lt;/Year&gt;&lt;RecNum&gt;5478&lt;/RecNum&gt;&lt;DisplayText&gt;(Pedersen and Berg 2017)&lt;/DisplayText&gt;&lt;record&gt;&lt;rec-number&gt;5478&lt;/rec-number&gt;&lt;foreign-keys&gt;&lt;key app="EN" db-id="tt9r9zwau55dtxedv2kvxfshxwpvwv9x9e9s" timestamp="1600366289"&gt;5478&lt;/key&gt;&lt;/foreign-keys&gt;&lt;ref-type name="Journal Article"&gt;17&lt;/ref-type&gt;&lt;contributors&gt;&lt;authors&gt;&lt;author&gt;Pedersen, Martin W.&lt;/author&gt;&lt;author&gt;Berg, Casper W.&lt;/author&gt;&lt;/authors&gt;&lt;/contributors&gt;&lt;titles&gt;&lt;title&gt;A stochastic surplus production model in continuous time&lt;/title&gt;&lt;secondary-title&gt;Fish &amp;amp; Fisheries&lt;/secondary-title&gt;&lt;/titles&gt;&lt;periodical&gt;&lt;full-title&gt;Fish &amp;amp; Fisheries&lt;/full-title&gt;&lt;/periodical&gt;&lt;pages&gt;226-243&lt;/pages&gt;&lt;volume&gt;18&lt;/volume&gt;&lt;number&gt;2&lt;/number&gt;&lt;keywords&gt;&lt;keyword&gt;Fish stocking&lt;/keyword&gt;&lt;keyword&gt;Fishery management&lt;/keyword&gt;&lt;keyword&gt;Fish populations&lt;/keyword&gt;&lt;keyword&gt;Sustainable fisheries&lt;/keyword&gt;&lt;keyword&gt;Surplus commodities&lt;/keyword&gt;&lt;keyword&gt;State-space methods&lt;/keyword&gt;&lt;keyword&gt;Data</w:instrText>
      </w:r>
      <w:r>
        <w:rPr>
          <w:rFonts w:ascii="Cambria Math" w:hAnsi="Cambria Math" w:cs="Cambria Math"/>
        </w:rPr>
        <w:instrText>‐</w:instrText>
      </w:r>
      <w:r>
        <w:instrText>limited methods&lt;/keyword&gt;&lt;keyword&gt;Data-limited methods&lt;/keyword&gt;&lt;keyword&gt;fisheries management&lt;/keyword&gt;&lt;keyword&gt;maximum sustainable yield&lt;/keyword&gt;&lt;keyword&gt;Pella–Tomlinson model&lt;/keyword&gt;&lt;keyword&gt;Pella-Tomlinson model&lt;/keyword&gt;&lt;keyword&gt;seasonal population dynamics&lt;/keyword&gt;&lt;keyword&gt;stock assessment&lt;/keyword&gt;&lt;/keywords&gt;&lt;dates&gt;&lt;year&gt;2017&lt;/year&gt;&lt;/dates&gt;&lt;publisher&gt;Wiley-Blackwell&lt;/publisher&gt;&lt;isbn&gt;14672960&lt;/isbn&gt;&lt;accession-num&gt;121542175&lt;/accession-num&gt;&lt;work-type&gt;Article&lt;/work-type&gt;&lt;urls&gt;&lt;related-urls&gt;&lt;url&gt;https://search.ebscohost.com/login.aspx?direct=true&amp;amp;db=eih&amp;amp;AN=121542175&amp;amp;authtype=sso&amp;amp;custid=magn1307&amp;amp;site=eds-live&amp;amp;scope=site&amp;amp;custid=magn1307&lt;/url&gt;&lt;/related-urls&gt;&lt;/urls&gt;&lt;electronic-resource-num&gt;10.1111/faf.12174&lt;/electronic-resource-num&gt;&lt;remote-database-name&gt;Environment Complete&lt;/remote-database-name&gt;&lt;remote-database-provider&gt;EBSCOhost&lt;/remote-database-provider&gt;&lt;/record&gt;&lt;/Cite&gt;&lt;/EndNote&gt;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(Pedersen and Berg 2017)</w:t>
      </w:r>
      <w:r>
        <w:fldChar w:fldCharType="end"/>
      </w:r>
    </w:p>
    <w:p w14:paraId="2C29BAA6" w14:textId="5605A997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Multi species model </w:t>
      </w:r>
      <w:r>
        <w:fldChar w:fldCharType="begin"/>
      </w:r>
      <w:r>
        <w:instrText xml:space="preserve"> ADDIN EN.CITE &lt;EndNote&gt;&lt;Cite&gt;&lt;Author&gt;Dedah&lt;/Author&gt;&lt;Year&gt;1999&lt;/Year&gt;&lt;RecNum&gt;2185&lt;/RecNum&gt;&lt;DisplayText&gt;(Dedah et al. 1999)&lt;/DisplayText&gt;&lt;record&gt;&lt;rec-number&gt;2185&lt;/rec-number&gt;&lt;foreign-keys&gt;&lt;key app="EN" db-id="tt9r9zwau55dtxedv2kvxfshxwpvwv9x9e9s" timestamp="0"&gt;2185&lt;/key&gt;&lt;/foreign-keys&gt;&lt;ref-type name="Journal Article"&gt;17&lt;/ref-type&gt;&lt;contributors&gt;&lt;authors&gt;&lt;author&gt;Dedah, S. O.&lt;/author&gt;&lt;author&gt;Condrey, R. E.&lt;/author&gt;&lt;author&gt;Shaw, R. F.&lt;/author&gt;&lt;/authors&gt;&lt;/contributors&gt;&lt;titles&gt;&lt;title&gt;Conservative fit of the Schaefer model for a multispecies fishery&lt;/title&gt;&lt;secondary-title&gt;Fisheries Research&lt;/secondary-title&gt;&lt;/titles&gt;&lt;periodical&gt;&lt;full-title&gt;Fisheries Research&lt;/full-title&gt;&lt;/periodical&gt;&lt;pages&gt;155-168&lt;/pages&gt;&lt;volume&gt;41&lt;/volume&gt;&lt;number&gt;2&lt;/number&gt;&lt;dates&gt;&lt;year&gt;1999&lt;/year&gt;&lt;pub-dates&gt;&lt;date&gt;Jun&lt;/date&gt;&lt;/pub-dates&gt;&lt;/dates&gt;&lt;isbn&gt;0165-7836&lt;/isbn&gt;&lt;accession-num&gt;ISI:000080374700004&lt;/accession-num&gt;&lt;call-num&gt;D86&lt;/call-num&gt;&lt;urls&gt;&lt;related-urls&gt;&lt;url&gt;&amp;lt;Go to ISI&amp;gt;://000080374700004&lt;/url&gt;&lt;/related-urls&gt;&lt;/urls&gt;&lt;/record&gt;&lt;/Cite&gt;&lt;/EndNote&gt;</w:instrText>
      </w:r>
      <w:r>
        <w:fldChar w:fldCharType="separate"/>
      </w:r>
      <w:r>
        <w:rPr>
          <w:noProof/>
        </w:rPr>
        <w:t>(Dedah et al. 1999)</w:t>
      </w:r>
      <w:r>
        <w:fldChar w:fldCharType="end"/>
      </w:r>
    </w:p>
    <w:p w14:paraId="3247E970" w14:textId="195010D1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Fox model </w:t>
      </w:r>
      <w:r>
        <w:fldChar w:fldCharType="begin"/>
      </w:r>
      <w:r>
        <w:instrText xml:space="preserve"> ADDIN EN.CITE &lt;EndNote&gt;&lt;Cite&gt;&lt;Author&gt;Fox&lt;/Author&gt;&lt;Year&gt;1970&lt;/Year&gt;&lt;RecNum&gt;2691&lt;/RecNum&gt;&lt;DisplayText&gt;(Fox 1970)&lt;/DisplayText&gt;&lt;record&gt;&lt;rec-number&gt;2691&lt;/rec-number&gt;&lt;foreign-keys&gt;&lt;key app="EN" db-id="tt9r9zwau55dtxedv2kvxfshxwpvwv9x9e9s" timestamp="0"&gt;2691&lt;/key&gt;&lt;/foreign-keys&gt;&lt;ref-type name="Journal Article"&gt;17&lt;/ref-type&gt;&lt;contributors&gt;&lt;authors&gt;&lt;author&gt;Fox, William W.&lt;/author&gt;&lt;/authors&gt;&lt;/contributors&gt;&lt;titles&gt;&lt;title&gt;An exponential surplus-yield model for optimizing exploited fish populations&lt;/title&gt;&lt;secondary-title&gt;Transactions of the American Fisheries Society&lt;/secondary-title&gt;&lt;/titles&gt;&lt;periodical&gt;&lt;full-title&gt;Transactions of the American Fisheries Society&lt;/full-title&gt;&lt;/periodical&gt;&lt;pages&gt;80-88&lt;/pages&gt;&lt;volume&gt;99&lt;/volume&gt;&lt;number&gt;1&lt;/number&gt;&lt;dates&gt;&lt;year&gt;1970&lt;/year&gt;&lt;/dates&gt;&lt;isbn&gt;0002-8487&lt;/isbn&gt;&lt;call-num&gt;F75&lt;/call-num&gt;&lt;urls&gt;&lt;related-urls&gt;&lt;url&gt;http://www.informaworld.com/10.1577/1548-8659(1970)99&amp;lt;80:AESMFO&amp;gt;2.0.CO;2&lt;/url&gt;&lt;/related-urls&gt;&lt;/urls&gt;&lt;access-date&gt;May 22, 2011&lt;/access-date&gt;&lt;/record&gt;&lt;/Cite&gt;&lt;/EndNote&gt;</w:instrText>
      </w:r>
      <w:r>
        <w:fldChar w:fldCharType="separate"/>
      </w:r>
      <w:r>
        <w:rPr>
          <w:noProof/>
        </w:rPr>
        <w:t>(Fox 1970)</w:t>
      </w:r>
      <w:r>
        <w:fldChar w:fldCharType="end"/>
      </w:r>
    </w:p>
    <w:p w14:paraId="2FA1F2C6" w14:textId="2E5FA9F1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&lt;EndNote&gt;&lt;Cite&gt;&lt;Author&gt;Hakanson&lt;/Author&gt;&lt;Year&gt;2004&lt;/Year&gt;&lt;RecNum&gt;1120&lt;/RecNum&gt;&lt;DisplayText&gt;(Hakanson and Boulion 2004)&lt;/DisplayText&gt;&lt;record&gt;&lt;rec-number&gt;1120&lt;/rec-number&gt;&lt;foreign-keys&gt;&lt;key app="EN" db-id="tt9r9zwau55dtxedv2kvxfshxwpvwv9x9e9s" timestamp="0"&gt;1120&lt;/key&gt;&lt;/foreign-keys&gt;&lt;ref-type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prey and predatory fish in lakes&lt;/title&gt;&lt;secondary-title&gt;Hydrobiologia&lt;/secondary-title&gt;&lt;/titles&gt;&lt;periodical&gt;&lt;full-title&gt;Hydrobiologia&lt;/full-title&gt;&lt;/periodical&gt;&lt;pages&gt;125-150&lt;/pages&gt;&lt;volume&gt;511&lt;/volume&gt;&lt;number&gt;1&lt;/number&gt;&lt;dates&gt;&lt;year&gt;2004&lt;/year&gt;&lt;/dates&gt;&lt;call-num&gt;H79&lt;/call-num&gt;&lt;urls&gt;&lt;related-urls&gt;&lt;url&gt;&amp;lt;Go to ISI&amp;gt;://000188667300011&lt;/url&gt;&lt;/related-urls&gt;&lt;/urls&gt;&lt;/record&gt;&lt;/Cite&gt;&lt;/EndNote&gt;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2004)</w:t>
      </w:r>
      <w:r>
        <w:fldChar w:fldCharType="end"/>
      </w:r>
    </w:p>
    <w:p w14:paraId="27075EB7" w14:textId="3FC15ADC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&lt;EndNote&gt;&lt;Cite&gt;&lt;Author&gt;Hakanson&lt;/Author&gt;&lt;Year&gt;2003&lt;/Year&gt;&lt;RecNum&gt;2053&lt;/RecNum&gt;&lt;DisplayText&gt;(Hakanson and Boulion 2003; Hakanson and Gyllenhammar 2005)&lt;/DisplayText&gt;&lt;record&gt;&lt;rec-number&gt;2053&lt;/rec-number&gt;&lt;foreign-keys&gt;&lt;key app="EN" db-id="tt9r9zwau55dtxedv2kvxfshxwpvwv9x9e9s" timestamp="0"&gt;2053&lt;/key&gt;&lt;/foreign-keys&gt;&lt;ref-type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herbivorous and predatory zooplankton in lakes&lt;/title&gt;&lt;secondary-title&gt;Ecological Modelling&lt;/secondary-title&gt;&lt;/titles&gt;&lt;periodical&gt;&lt;full-title&gt;Ecological Modelling&lt;/full-title&gt;&lt;/periodical&gt;&lt;pages&gt;1-33&lt;/pages&gt;&lt;volume&gt;161&lt;/volume&gt;&lt;number&gt;1-2&lt;/number&gt;&lt;dates&gt;&lt;year&gt;2003&lt;/year&gt;&lt;pub-dates&gt;&lt;date&gt;Mar&lt;/date&gt;&lt;/pub-dates&gt;&lt;/dates&gt;&lt;isbn&gt;0304-3800&lt;/isbn&gt;&lt;accession-num&gt;ISI:000181324600001&lt;/accession-num&gt;&lt;call-num&gt;H139&lt;/call-num&gt;&lt;urls&gt;&lt;related-urls&gt;&lt;url&gt;&amp;lt;Go to ISI&amp;gt;://000181324600001&lt;/url&gt;&lt;/related-urls&gt;&lt;/urls&gt;&lt;/record&gt;&lt;/Cite&gt;&lt;Cite&gt;&lt;Author&gt;Hakanson&lt;/Author&gt;&lt;Year&gt;2005&lt;/Year&gt;&lt;RecNum&gt;2217&lt;/RecNum&gt;&lt;record&gt;&lt;rec-number&gt;2217&lt;/rec-number&gt;&lt;foreign-keys&gt;&lt;key app="EN" db-id="tt9r9zwau55dtxedv2kvxfshxwpvwv9x9e9s" timestamp="0"&gt;2217&lt;/key&gt;&lt;/foreign-keys&gt;&lt;ref-type name="Journal Article"&gt;17&lt;/ref-type&gt;&lt;contributors&gt;&lt;authors&gt;&lt;author&gt;Hakanson, Lars&lt;/author&gt;&lt;author&gt;Gyllenhammar, Andreas&lt;/author&gt;&lt;/authors&gt;&lt;/contributors&gt;&lt;titles&gt;&lt;title&gt;Setting Fish Quotas Based on Holistic Ecosystem Modelling Including Environmental Factors and Foodweb Interactions – A New Approach&lt;/title&gt;&lt;secondary-title&gt;Aquatic Ecology&lt;/secondary-title&gt;&lt;/titles&gt;&lt;periodical&gt;&lt;full-title&gt;Aquatic Ecology&lt;/full-title&gt;&lt;abbr-1&gt;Aquat Ecol&lt;/abbr-1&gt;&lt;/periodical&gt;&lt;pages&gt;325-351&lt;/pages&gt;&lt;volume&gt;39&lt;/volume&gt;&lt;number&gt;3&lt;/number&gt;&lt;dates&gt;&lt;year&gt;2005&lt;/year&gt;&lt;/dates&gt;&lt;call-num&gt;H153&lt;/call-num&gt;&lt;urls&gt;&lt;related-urls&gt;&lt;url&gt;http://dx.doi.org/10.1007/s10452-005-3418-x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2003; Hakanson and Gyllenhammar 2005)</w:t>
      </w:r>
      <w:r>
        <w:fldChar w:fldCharType="end"/>
      </w:r>
    </w:p>
    <w:p w14:paraId="77C76FAD" w14:textId="193BC794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&lt;EndNote&gt;&lt;Cite&gt;&lt;Author&gt;Laloe&lt;/Author&gt;&lt;Year&gt;1995&lt;/Year&gt;&lt;RecNum&gt;2672&lt;/RecNum&gt;&lt;DisplayText&gt;(Laloe 1995)&lt;/DisplayText&gt;&lt;record&gt;&lt;rec-number&gt;2672&lt;/rec-number&gt;&lt;foreign-keys&gt;&lt;key app="EN" db-id="tt9r9zwau55dtxedv2kvxfshxwpvwv9x9e9s" timestamp="0"&gt;2672&lt;/key&gt;&lt;/foreign-keys&gt;&lt;ref-type name="Journal Article"&gt;17&lt;/ref-type&gt;&lt;contributors&gt;&lt;authors&gt;&lt;author&gt;Laloe, F.&lt;/author&gt;&lt;/authors&gt;&lt;/contributors&gt;&lt;auth-address&gt;LALOE, F, ORSTOM,BP 5045,F-34032 MONTPELLIER 1,FRANCE.&lt;/auth-address&gt;&lt;titles&gt;&lt;title&gt;Should surplus production models be fishery description tools rather than biological models&lt;/title&gt;&lt;secondary-title&gt;Aquatic Living Resources&lt;/secondary-title&gt;&lt;alt-title&gt;Aquat. Living Resour.&lt;/alt-title&gt;&lt;/titles&gt;&lt;periodical&gt;&lt;full-title&gt;Aquatic Living Resources&lt;/full-title&gt;&lt;abbr-1&gt;Aquat. Living Resour.&lt;/abbr-1&gt;&lt;/periodical&gt;&lt;alt-periodical&gt;&lt;full-title&gt;Aquatic Living Resources&lt;/full-title&gt;&lt;abbr-1&gt;Aquat. Living Resour.&lt;/abbr-1&gt;&lt;/alt-periodical&gt;&lt;pages&gt;1-16&lt;/pages&gt;&lt;volume&gt;8&lt;/volume&gt;&lt;number&gt;1&lt;/number&gt;&lt;keywords&gt;&lt;keyword&gt;POPULATION DYNAMICS&lt;/keyword&gt;&lt;keyword&gt;FLEET DYNAMICS&lt;/keyword&gt;&lt;keyword&gt;SIMULATION&lt;/keyword&gt;&lt;keyword&gt;ADJUSTMENT&lt;/keyword&gt;&lt;keyword&gt;FISHERIES&lt;/keyword&gt;&lt;keyword&gt;MANAGEMENT&lt;/keyword&gt;&lt;keyword&gt;SURPLUS PRODUCTION MODELS&lt;/keyword&gt;&lt;keyword&gt;CATCH-EFFORT MODELS&lt;/keyword&gt;&lt;/keywords&gt;&lt;dates&gt;&lt;year&gt;1995&lt;/year&gt;&lt;/dates&gt;&lt;isbn&gt;0990-7440&lt;/isbn&gt;&lt;accession-num&gt;ISI:A1995QP31700001&lt;/accession-num&gt;&lt;call-num&gt;L115&lt;/call-num&gt;&lt;work-type&gt;Article&lt;/work-type&gt;&lt;urls&gt;&lt;related-urls&gt;&lt;url&gt;&amp;lt;Go to ISI&amp;gt;://A1995QP31700001&lt;/url&gt;&lt;/related-urls&gt;&lt;/urls&gt;&lt;language&gt;English&lt;/language&gt;&lt;/record&gt;&lt;/Cite&gt;&lt;/EndNote&gt;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(Laloe 1995)</w:t>
      </w:r>
      <w:r>
        <w:fldChar w:fldCharType="end"/>
      </w:r>
    </w:p>
    <w:p w14:paraId="256428F2" w14:textId="13666951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&lt;EndNote&gt;&lt;Cite&gt;&lt;Author&gt;Polacheck&lt;/Author&gt;&lt;Year&gt;1993&lt;/Year&gt;&lt;RecNum&gt;2673&lt;/RecNum&gt;&lt;DisplayText&gt;(Polacheck et al. 1993)&lt;/DisplayText&gt;&lt;record&gt;&lt;rec-number&gt;2673&lt;/rec-number&gt;&lt;foreign-keys&gt;&lt;key app="EN" db-id="tt9r9zwau55dtxedv2kvxfshxwpvwv9x9e9s" timestamp="0"&gt;2673&lt;/key&gt;&lt;/foreign-keys&gt;&lt;ref-type name="Journal Article"&gt;17&lt;/ref-type&gt;&lt;contributors&gt;&lt;authors&gt;&lt;author&gt;Polacheck, T.&lt;/author&gt;&lt;author&gt;Hilborn, R.&lt;/author&gt;&lt;author&gt;Punt, A. E.&lt;/author&gt;&lt;/authors&gt;&lt;/contributors&gt;&lt;auth-address&gt;UNIV WASHINGTON,SCH FISHERIES WH10,SEATTLE,WA 98195.&amp;#xD;POLACHECK, T, CSIRO,DIV FISHERIES RES,GPO BOX 1538,HOBART,TAS 7001,AUSTRALIA.&lt;/auth-address&gt;&lt;titles&gt;&lt;title&gt;Fitting surplus production models - comparing methods and measuring uncertainty&lt;/title&gt;&lt;secondary-title&gt;Canadian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Sciences&lt;/full-title&gt;&lt;/periodical&gt;&lt;pages&gt;2597-2607&lt;/pages&gt;&lt;volume&gt;50&lt;/volume&gt;&lt;number&gt;12&lt;/number&gt;&lt;keywords&gt;&lt;keyword&gt;CATCH-EFFORT DATA&lt;/keyword&gt;&lt;keyword&gt;APPROPRIATE&lt;/keyword&gt;&lt;keyword&gt;MANAGEMENT&lt;/keyword&gt;&lt;keyword&gt;RESOURCES&lt;/keyword&gt;&lt;/keywords&gt;&lt;dates&gt;&lt;year&gt;1993&lt;/year&gt;&lt;pub-dates&gt;&lt;date&gt;Dec&lt;/date&gt;&lt;/pub-dates&gt;&lt;/dates&gt;&lt;isbn&gt;0706-652X&lt;/isbn&gt;&lt;accession-num&gt;ISI:A1993NF41900009&lt;/accession-num&gt;&lt;call-num&gt;P189&lt;/call-num&gt;&lt;work-type&gt;Article&lt;/work-type&gt;&lt;urls&gt;&lt;related-urls&gt;&lt;url&gt;&amp;lt;Go to ISI&amp;gt;://A1993NF41900009&lt;/url&gt;&lt;/related-urls&gt;&lt;/urls&gt;&lt;language&gt;English&lt;/language&gt;&lt;/record&gt;&lt;/Cite&gt;&lt;/EndNote&gt;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(Polacheck et al. 1993)</w:t>
      </w:r>
      <w:r>
        <w:fldChar w:fldCharType="end"/>
      </w:r>
    </w:p>
    <w:p w14:paraId="5AE2F289" w14:textId="234B5F9C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(Prager 1994; Prager 2002; Williams and Prager 2002)</w:t>
      </w:r>
      <w:r>
        <w:fldChar w:fldCharType="end"/>
      </w:r>
    </w:p>
    <w:p w14:paraId="1D9F986C" w14:textId="7CBD04D0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(Randall 2002; Randall and Minns 2000)</w:t>
      </w:r>
      <w:r>
        <w:fldChar w:fldCharType="end"/>
      </w:r>
    </w:p>
    <w:p w14:paraId="7A6E8EAE" w14:textId="4EB8B885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&lt;EndNote&gt;&lt;Cite&gt;&lt;Author&gt;Ricker&lt;/Author&gt;&lt;Year&gt;1946&lt;/Year&gt;&lt;RecNum&gt;2334&lt;/RecNum&gt;&lt;DisplayText&gt;(Ricker 1946)&lt;/DisplayText&gt;&lt;record&gt;&lt;rec-number&gt;2334&lt;/rec-number&gt;&lt;foreign-keys&gt;&lt;key app="EN" db-id="tt9r9zwau55dtxedv2kvxfshxwpvwv9x9e9s" timestamp="0"&gt;2334&lt;/key&gt;&lt;/foreign-keys&gt;&lt;ref-type name="Journal Article"&gt;17&lt;/ref-type&gt;&lt;contributors&gt;&lt;authors&gt;&lt;author&gt;Ricker, W. E.&lt;/author&gt;&lt;/authors&gt;&lt;/contributors&gt;&lt;titles&gt;&lt;title&gt;Production and utilization of fish populations&lt;/title&gt;&lt;secondary-title&gt;Ecological Monographs&lt;/secondary-title&gt;&lt;/titles&gt;&lt;periodical&gt;&lt;full-title&gt;Ecological Monographs&lt;/full-title&gt;&lt;/periodical&gt;&lt;pages&gt;373-391&lt;/pages&gt;&lt;volume&gt;16&lt;/volume&gt;&lt;number&gt;4&lt;/number&gt;&lt;dates&gt;&lt;year&gt;1946&lt;/year&gt;&lt;/dates&gt;&lt;isbn&gt;0012-9615&lt;/isbn&gt;&lt;accession-num&gt;ISI:A1946YF70700006&lt;/accession-num&gt;&lt;call-num&gt;R134&lt;/call-num&gt;&lt;urls&gt;&lt;related-urls&gt;&lt;url&gt;&amp;lt;Go to ISI&amp;gt;://A1946YF70700006&lt;/url&gt;&lt;/related-urls&gt;&lt;/urls&gt;&lt;language&gt;English&lt;/language&gt;&lt;/record&gt;&lt;/Cite&gt;&lt;/EndNote&gt;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(Ricker 1946)</w:t>
      </w:r>
      <w:r>
        <w:fldChar w:fldCharType="end"/>
      </w:r>
    </w:p>
    <w:p w14:paraId="1F8B966B" w14:textId="3285CC07" w:rsidR="00EA7016" w:rsidRDefault="00EA7016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(Waters and Huntsman 1986; Waters 1969; Waters 1992)</w:t>
      </w:r>
      <w:r>
        <w:fldChar w:fldCharType="end"/>
      </w:r>
    </w:p>
    <w:p w14:paraId="51F0F951" w14:textId="72C7D51B" w:rsidR="00EA7016" w:rsidRPr="00317E19" w:rsidRDefault="00EA7016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&lt;EndNote&gt;&lt;Cite&gt;&lt;Author&gt;Zhang&lt;/Author&gt;&lt;Year&gt;2010&lt;/Year&gt;&lt;RecNum&gt;2391&lt;/RecNum&gt;&lt;DisplayText&gt;(Zhang and Megrey 2010)&lt;/DisplayText&gt;&lt;record&gt;&lt;rec-number&gt;2391&lt;/rec-number&gt;&lt;foreign-keys&gt;&lt;key app="EN" db-id="tt9r9zwau55dtxedv2kvxfshxwpvwv9x9e9s" timestamp="0"&gt;2391&lt;/key&gt;&lt;/foreign-keys&gt;&lt;ref-type name="Journal Article"&gt;17&lt;/ref-type&gt;&lt;contributors&gt;&lt;authors&gt;&lt;author&gt;Zhang, Chang Ik&lt;/author&gt;&lt;author&gt;Megrey, Bernard A.&lt;/author&gt;&lt;/authors&gt;&lt;/contributors&gt;&lt;titles&gt;&lt;title&gt;A Simple Biomass-Based Length-Cohort Analysis for Estimating Biomass and Fishing Mortality&lt;/title&gt;&lt;secondary-title&gt;Transactions of the American Fisheries Society&lt;/secondary-title&gt;&lt;/titles&gt;&lt;periodical&gt;&lt;full-title&gt;Transactions of the American Fisheries Society&lt;/full-title&gt;&lt;/periodical&gt;&lt;pages&gt;911-924&lt;/pages&gt;&lt;volume&gt;139&lt;/volume&gt;&lt;number&gt;3&lt;/number&gt;&lt;dates&gt;&lt;year&gt;2010&lt;/year&gt;&lt;/dates&gt;&lt;call-num&gt;Z23&lt;/call-num&gt;&lt;urls&gt;&lt;related-urls&gt;&lt;url&gt;http://afsjournals.org/doi/abs/10.1577/T09-041.1&lt;/url&gt;&lt;/related-urls&gt;&lt;/urls&gt;&lt;electronic-resource-num&gt;doi:10.1577/T09-041.1&lt;/electronic-resource-num&gt;&lt;/record&gt;&lt;/Cite&gt;&lt;/EndNote&gt;</w:instrText>
      </w:r>
      <w:r>
        <w:fldChar w:fldCharType="separate"/>
      </w:r>
      <w:r>
        <w:rPr>
          <w:noProof/>
        </w:rPr>
        <w:t>(Zhang and Megrey 2010)</w:t>
      </w:r>
      <w:r>
        <w:fldChar w:fldCharType="end"/>
      </w:r>
    </w:p>
    <w:p w14:paraId="05B60FDB" w14:textId="5EC2DCCE" w:rsidR="00A87998" w:rsidRPr="00317E19" w:rsidRDefault="00A87998" w:rsidP="00140E80">
      <w:pPr>
        <w:pStyle w:val="Heading2"/>
      </w:pPr>
      <w:r w:rsidRPr="00317E19">
        <w:lastRenderedPageBreak/>
        <w:t>Production estimation (8.7 A&amp;IFFD P</w:t>
      </w:r>
      <w:proofErr w:type="gramStart"/>
      <w:r w:rsidRPr="00317E19">
        <w:t>360)[</w:t>
      </w:r>
      <w:proofErr w:type="gramEnd"/>
      <w:r w:rsidRPr="00317E19">
        <w:t>tom]</w:t>
      </w:r>
    </w:p>
    <w:p w14:paraId="348AEAFF" w14:textId="3FEE8B47" w:rsidR="00A87998" w:rsidRPr="00317E19" w:rsidRDefault="00A87998" w:rsidP="00140E80">
      <w:pPr>
        <w:pStyle w:val="Heading3"/>
      </w:pPr>
      <w:r w:rsidRPr="00317E19">
        <w:t>Concepts and terminology: a vital rate (8.7.1 A&amp;IFFD P360)</w:t>
      </w:r>
    </w:p>
    <w:p w14:paraId="50661972" w14:textId="3A63663F" w:rsidR="00A87998" w:rsidRPr="00317E19" w:rsidRDefault="00A87998" w:rsidP="00140E80">
      <w:pPr>
        <w:pStyle w:val="Heading3"/>
      </w:pPr>
      <w:r w:rsidRPr="00317E19">
        <w:t>Production estimation methods (8.7.2 A&amp;IFFD P361)</w:t>
      </w:r>
    </w:p>
    <w:p w14:paraId="77EAF7F6" w14:textId="1CC4CAA5" w:rsidR="00A87998" w:rsidRPr="00317E19" w:rsidRDefault="00A87998" w:rsidP="00140E80">
      <w:pPr>
        <w:pStyle w:val="Heading4"/>
      </w:pPr>
      <w:r w:rsidRPr="00317E19">
        <w:t xml:space="preserve"> Summation methods (A&amp;IFFD P362)</w:t>
      </w:r>
    </w:p>
    <w:p w14:paraId="0C379880" w14:textId="4473B00A" w:rsidR="00A87998" w:rsidRPr="00317E19" w:rsidRDefault="00A87998" w:rsidP="00140E80">
      <w:pPr>
        <w:pStyle w:val="Heading4"/>
      </w:pPr>
      <w:r w:rsidRPr="00317E19">
        <w:t>Instantaneous Growth Rate and Allen Curve methods (A&amp;IFFD P363)</w:t>
      </w:r>
    </w:p>
    <w:p w14:paraId="4BE20AFD" w14:textId="57065DFE" w:rsidR="00A87998" w:rsidRPr="00317E19" w:rsidRDefault="00A87998" w:rsidP="00140E80">
      <w:pPr>
        <w:pStyle w:val="Heading4"/>
      </w:pPr>
      <w:r w:rsidRPr="00317E19">
        <w:t>Size-Frequency Method (A&amp;</w:t>
      </w:r>
      <w:proofErr w:type="gramStart"/>
      <w:r w:rsidRPr="00317E19">
        <w:t>IFFD  p</w:t>
      </w:r>
      <w:proofErr w:type="gramEnd"/>
      <w:r w:rsidRPr="00317E19">
        <w:t>366)</w:t>
      </w:r>
    </w:p>
    <w:p w14:paraId="39CC775C" w14:textId="471701BA" w:rsidR="00A87998" w:rsidRPr="00317E19" w:rsidRDefault="00A87998" w:rsidP="00140E80">
      <w:pPr>
        <w:pStyle w:val="Heading3"/>
      </w:pPr>
      <w:r w:rsidRPr="00317E19">
        <w:t>Production to mean biomass (P/B) ratio (A&amp;</w:t>
      </w:r>
      <w:proofErr w:type="gramStart"/>
      <w:r w:rsidRPr="00317E19">
        <w:t>IFFD  P</w:t>
      </w:r>
      <w:proofErr w:type="gramEnd"/>
      <w:r w:rsidRPr="00317E19">
        <w:t>367)</w:t>
      </w:r>
    </w:p>
    <w:p w14:paraId="740BCA07" w14:textId="5B9C25E6" w:rsidR="00A87998" w:rsidRPr="00317E19" w:rsidRDefault="00A87998" w:rsidP="00140E80">
      <w:pPr>
        <w:pStyle w:val="Heading4"/>
      </w:pPr>
      <w:r w:rsidRPr="00317E19">
        <w:t>Direct estimates</w:t>
      </w:r>
    </w:p>
    <w:p w14:paraId="035264EF" w14:textId="3E64CD8F" w:rsidR="00A87998" w:rsidRPr="00317E19" w:rsidRDefault="00A87998" w:rsidP="00140E80">
      <w:pPr>
        <w:pStyle w:val="Heading4"/>
      </w:pPr>
      <w:r w:rsidRPr="00317E19">
        <w:t xml:space="preserve">Estimates based on life history and allometry </w:t>
      </w:r>
    </w:p>
    <w:p w14:paraId="0AF6D801" w14:textId="77777777" w:rsidR="00A87998" w:rsidRPr="00317E19" w:rsidRDefault="00A87998" w:rsidP="00A87998">
      <w:pPr>
        <w:spacing w:line="360" w:lineRule="auto"/>
      </w:pPr>
      <w:r w:rsidRPr="00317E19">
        <w:tab/>
        <w:t>5.4.4   Production estimates in practice (A&amp;</w:t>
      </w:r>
      <w:proofErr w:type="gramStart"/>
      <w:r w:rsidRPr="00317E19">
        <w:t>IFFD  P</w:t>
      </w:r>
      <w:proofErr w:type="gramEnd"/>
      <w:r w:rsidRPr="00317E19">
        <w:t>367)</w:t>
      </w:r>
    </w:p>
    <w:p w14:paraId="3AC9542A" w14:textId="77777777" w:rsidR="00A87998" w:rsidRPr="00317E19" w:rsidRDefault="00A87998" w:rsidP="00A87998">
      <w:pPr>
        <w:spacing w:line="360" w:lineRule="auto"/>
      </w:pPr>
      <w:proofErr w:type="gramStart"/>
      <w:r w:rsidRPr="00317E19">
        <w:t>5.5  Summary</w:t>
      </w:r>
      <w:proofErr w:type="gramEnd"/>
      <w:r w:rsidRPr="00317E19">
        <w:t xml:space="preserve"> and practical considerations []</w:t>
      </w:r>
    </w:p>
    <w:p w14:paraId="3FB37894" w14:textId="77777777" w:rsidR="00A87998" w:rsidRPr="00317E19" w:rsidRDefault="00A87998" w:rsidP="00A87998">
      <w:pPr>
        <w:spacing w:line="360" w:lineRule="auto"/>
      </w:pPr>
      <w:r w:rsidRPr="00317E19">
        <w:t>Assuming we just redo the boxes in R then these will come together quickly.</w:t>
      </w:r>
    </w:p>
    <w:p w14:paraId="4D39F313" w14:textId="727E3CFD" w:rsidR="00872303" w:rsidRDefault="00872303" w:rsidP="00A87998">
      <w:pPr>
        <w:spacing w:line="360" w:lineRule="auto"/>
      </w:pPr>
      <w:r>
        <w:t>Box 1. Estimating biomass using direct methods</w:t>
      </w:r>
    </w:p>
    <w:p w14:paraId="7B140154" w14:textId="6722835E" w:rsidR="00872303" w:rsidRDefault="00872303" w:rsidP="00A87998">
      <w:pPr>
        <w:spacing w:line="360" w:lineRule="auto"/>
      </w:pPr>
      <w:r>
        <w:t xml:space="preserve">Box 2. Solving an ordinary differential equation </w:t>
      </w:r>
    </w:p>
    <w:p w14:paraId="52DFC857" w14:textId="77777777" w:rsidR="00872303" w:rsidRDefault="00872303" w:rsidP="00A87998">
      <w:pPr>
        <w:spacing w:line="360" w:lineRule="auto"/>
      </w:pPr>
    </w:p>
    <w:p w14:paraId="63259E54" w14:textId="57EEB148" w:rsidR="00A87998" w:rsidRPr="00317E19" w:rsidRDefault="00A87998" w:rsidP="00A87998">
      <w:pPr>
        <w:spacing w:line="360" w:lineRule="auto"/>
      </w:pPr>
      <w:r w:rsidRPr="00317E19">
        <w:t xml:space="preserve">Box 1 Application of surplus production modeling (Box 8.7 A&amp;IFFD P </w:t>
      </w:r>
      <w:proofErr w:type="gramStart"/>
      <w:r w:rsidRPr="00317E19">
        <w:t>358)[</w:t>
      </w:r>
      <w:proofErr w:type="gramEnd"/>
      <w:r w:rsidRPr="00317E19">
        <w:t>Code done; needs narrative]</w:t>
      </w:r>
    </w:p>
    <w:p w14:paraId="3537F12E" w14:textId="77777777" w:rsidR="00A87998" w:rsidRPr="00317E19" w:rsidRDefault="00A87998" w:rsidP="00A87998">
      <w:pPr>
        <w:spacing w:line="360" w:lineRule="auto"/>
      </w:pPr>
      <w:r w:rsidRPr="00317E19">
        <w:t>Box 2. Production estimation based on the instantaneous growth rate method (Box 8.8 p</w:t>
      </w:r>
      <w:proofErr w:type="gramStart"/>
      <w:r w:rsidRPr="00317E19">
        <w:t>364)[</w:t>
      </w:r>
      <w:proofErr w:type="gramEnd"/>
      <w:r w:rsidRPr="00317E19">
        <w:t>pending]</w:t>
      </w:r>
    </w:p>
    <w:p w14:paraId="3E2C446F" w14:textId="77777777" w:rsidR="00A87998" w:rsidRPr="00317E19" w:rsidRDefault="00A87998" w:rsidP="00A87998">
      <w:pPr>
        <w:spacing w:line="360" w:lineRule="auto"/>
      </w:pPr>
      <w:r w:rsidRPr="00317E19">
        <w:t>Box 3. Production estimation based on the Size-Frequency method (P</w:t>
      </w:r>
      <w:proofErr w:type="gramStart"/>
      <w:r w:rsidRPr="00317E19">
        <w:t>368)[</w:t>
      </w:r>
      <w:proofErr w:type="gramEnd"/>
      <w:r w:rsidRPr="00317E19">
        <w:t>pending]</w:t>
      </w:r>
    </w:p>
    <w:p w14:paraId="64D9803F" w14:textId="77777777" w:rsidR="00F22576" w:rsidRDefault="00F22576"/>
    <w:p w14:paraId="0512A145" w14:textId="77777777" w:rsidR="00F22576" w:rsidRDefault="00F22576"/>
    <w:p w14:paraId="6F925D66" w14:textId="77777777" w:rsidR="00EA7016" w:rsidRPr="00EA7016" w:rsidRDefault="00F22576" w:rsidP="00EA701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A7016" w:rsidRPr="00EA7016">
        <w:t>Bordet, C., and L.-P. Rivest. 2014. A stochastic Pella Tomlinson model and its maximum sustainable yield. Journal of Theoretical Biology 360:46-53.</w:t>
      </w:r>
    </w:p>
    <w:p w14:paraId="35044B0A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Dedah, S. O., R. E. Condrey, and R. F. Shaw. 1999. Conservative fit of the Schaefer model for a multispecies fishery. Fisheries Research 41(2):155-168.</w:t>
      </w:r>
    </w:p>
    <w:p w14:paraId="4D2D1AF6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Fox, W. W. 1970. An exponential surplus-yield model for optimizing exploited fish populations. Transactions of the American Fisheries Society 99(1):80-88.</w:t>
      </w:r>
    </w:p>
    <w:p w14:paraId="7E7C5BA4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2003. Modelling production and biomasses of herbivorous and predatory zooplankton in lakes. Ecological Modelling 161(1-2):1-33.</w:t>
      </w:r>
    </w:p>
    <w:p w14:paraId="0E3972A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2004. Modelling production and biomasses of prey and predatory fish in lakes. Hydrobiologia 511(1):125-150.</w:t>
      </w:r>
    </w:p>
    <w:p w14:paraId="759B7197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A. Gyllenhammar. 2005. Setting Fish Quotas Based on Holistic Ecosystem Modelling Including Environmental Factors and Foodweb Interactions – A New Approach. Aquatic Ecology 39(3):325-351.</w:t>
      </w:r>
    </w:p>
    <w:p w14:paraId="6EF8924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lastRenderedPageBreak/>
        <w:t>Laloe, F. 1995. Should surplus production models be fishery description tools rather than biological models. Aquatic Living Resources 8(1):1-16.</w:t>
      </w:r>
    </w:p>
    <w:p w14:paraId="1D67EA1D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Pedersen, M. W., and C. W. Berg. 2017. A stochastic surplus production model in continuous time. Fish &amp; Fisheries 18(2):226-243.</w:t>
      </w:r>
    </w:p>
    <w:p w14:paraId="30E8CE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Pella, J. J., and P. K. Tomlinson. 1969. A generalized stock production model. Bulletin of the Inter-American Tropical Tuna Commission 13:421-496.</w:t>
      </w:r>
    </w:p>
    <w:p w14:paraId="14A869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Polacheck, T., R. Hilborn, and A. E. Punt. 1993. Fitting surplus production models - comparing methods and measuring uncertainty. Canadian Journal of Fisheries and Aquatic Sciences 50(12):2597-2607.</w:t>
      </w:r>
    </w:p>
    <w:p w14:paraId="315098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1994. A suite of extensions to a nonequilibrium surplus-production model. Fisheries Bulletin 92:374-389.</w:t>
      </w:r>
    </w:p>
    <w:p w14:paraId="41672268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2002. Comparison of logistic and generalized surplus-production models applied to swordfish, Xiphias gladius, in the north Atlantic Ocean. Fisheries Research 58(1):41-57.</w:t>
      </w:r>
    </w:p>
    <w:p w14:paraId="407D30F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 2002. Using allometry with fish size to estimate production to biomass (</w:t>
      </w:r>
      <w:r w:rsidRPr="00EA7016">
        <w:rPr>
          <w:i/>
        </w:rPr>
        <w:t>P/B</w:t>
      </w:r>
      <w:r w:rsidRPr="00EA7016">
        <w:t>) ratios of salmonid populations. Ecology of Freshwater Fish 11(3):196-202.</w:t>
      </w:r>
    </w:p>
    <w:p w14:paraId="224116DC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G., and C. K. Minns. 2000. Use of fish production per unit biomass ratios for measuring the productive capacity of fish habitats. Canadian Journal of Fisheries and Aquatic Sciences 57(8):1657-1667.</w:t>
      </w:r>
    </w:p>
    <w:p w14:paraId="1E5B0C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Ricker, W. E. 1946. Production and utilization of fish populations. Ecological Monographs 16(4):373-391.</w:t>
      </w:r>
    </w:p>
    <w:p w14:paraId="2EB1D84F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J. R., and G. R. Huntsman. 1986. Incorporating Mortality from Catch and Release into Yield-per-Recruit Analyses of Minimum-Size Limits. North American Journal of Fisheries Management 6(4):463-471.</w:t>
      </w:r>
    </w:p>
    <w:p w14:paraId="3ACA0E0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1969. Turnover ratio in production ecology of freshwater invertebrates. American Naturalist 103(930):173-185.</w:t>
      </w:r>
    </w:p>
    <w:p w14:paraId="386D5F95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1992. Annual production, production/biomass ratio, and the ecotrophic coefficient for management of trout in streams. North American Journal of Fisheries Management 12(1):34-39.</w:t>
      </w:r>
    </w:p>
    <w:p w14:paraId="18FED0A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Williams, E. H., and M. H. Prager. 2002. Comparison of equilibrium and nonequilibrium estimators for the generalized production model. Canadian Journal of Fisheries and Aquatic Sciences 59(9):1533-1552.</w:t>
      </w:r>
    </w:p>
    <w:p w14:paraId="6E1B98E5" w14:textId="77777777" w:rsidR="00EA7016" w:rsidRPr="00EA7016" w:rsidRDefault="00EA7016" w:rsidP="00EA7016">
      <w:pPr>
        <w:pStyle w:val="EndNoteBibliography"/>
        <w:ind w:left="720" w:hanging="720"/>
      </w:pPr>
      <w:r w:rsidRPr="00EA7016">
        <w:t>Zhang, C. I., and B. A. Megrey. 2010. A Simple Biomass-Based Length-Cohort Analysis for Estimating Biomass and Fishing Mortality. Transactions of the American Fisheries Society 139(3):911-924.</w:t>
      </w:r>
    </w:p>
    <w:p w14:paraId="12BA8656" w14:textId="2885B7E0" w:rsidR="00235C2A" w:rsidRDefault="00F22576">
      <w:r>
        <w:fldChar w:fldCharType="end"/>
      </w:r>
    </w:p>
    <w:sectPr w:rsidR="00235C2A" w:rsidSect="003942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B80"/>
    <w:multiLevelType w:val="hybridMultilevel"/>
    <w:tmpl w:val="33304172"/>
    <w:lvl w:ilvl="0" w:tplc="D154FE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59E2"/>
    <w:multiLevelType w:val="multilevel"/>
    <w:tmpl w:val="12721F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6434AB"/>
    <w:multiLevelType w:val="hybridMultilevel"/>
    <w:tmpl w:val="2A402C0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 Amer Fish So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9r9zwau55dtxedv2kvxfshxwpvwv9x9e9s&quot;&gt;Mike Copy&lt;record-ids&gt;&lt;item&gt;1120&lt;/item&gt;&lt;item&gt;1128&lt;/item&gt;&lt;item&gt;2053&lt;/item&gt;&lt;item&gt;2185&lt;/item&gt;&lt;item&gt;2217&lt;/item&gt;&lt;item&gt;2306&lt;/item&gt;&lt;item&gt;2327&lt;/item&gt;&lt;item&gt;2328&lt;/item&gt;&lt;item&gt;2334&lt;/item&gt;&lt;item&gt;2391&lt;/item&gt;&lt;item&gt;2653&lt;/item&gt;&lt;item&gt;2670&lt;/item&gt;&lt;item&gt;2672&lt;/item&gt;&lt;item&gt;2673&lt;/item&gt;&lt;item&gt;2677&lt;/item&gt;&lt;item&gt;2691&lt;/item&gt;&lt;item&gt;2694&lt;/item&gt;&lt;item&gt;5164&lt;/item&gt;&lt;item&gt;5477&lt;/item&gt;&lt;item&gt;5478&lt;/item&gt;&lt;/record-ids&gt;&lt;/item&gt;&lt;/Libraries&gt;"/>
  </w:docVars>
  <w:rsids>
    <w:rsidRoot w:val="00A87998"/>
    <w:rsid w:val="00140E80"/>
    <w:rsid w:val="00235C2A"/>
    <w:rsid w:val="00317E19"/>
    <w:rsid w:val="00442B20"/>
    <w:rsid w:val="004466CF"/>
    <w:rsid w:val="00447AD9"/>
    <w:rsid w:val="005D34B7"/>
    <w:rsid w:val="00872303"/>
    <w:rsid w:val="009C22EE"/>
    <w:rsid w:val="00A87998"/>
    <w:rsid w:val="00C83627"/>
    <w:rsid w:val="00CF2CDE"/>
    <w:rsid w:val="00D91864"/>
    <w:rsid w:val="00E461CC"/>
    <w:rsid w:val="00E538DE"/>
    <w:rsid w:val="00E77EA3"/>
    <w:rsid w:val="00E916DD"/>
    <w:rsid w:val="00EA7016"/>
    <w:rsid w:val="00F1273A"/>
    <w:rsid w:val="00F143B9"/>
    <w:rsid w:val="00F22576"/>
    <w:rsid w:val="00FC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7C11"/>
  <w15:chartTrackingRefBased/>
  <w15:docId w15:val="{4290FF2E-AB59-4544-9398-6C6709B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9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40E80"/>
    <w:pPr>
      <w:keepNext/>
      <w:keepLines/>
      <w:numPr>
        <w:ilvl w:val="1"/>
        <w:numId w:val="2"/>
      </w:numPr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9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9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0E80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7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99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9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7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7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7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7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TDisplayEquation">
    <w:name w:val="MTDisplayEquation"/>
    <w:basedOn w:val="Normal"/>
    <w:next w:val="Normal"/>
    <w:link w:val="MTDisplayEquationChar"/>
    <w:rsid w:val="0087230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72303"/>
  </w:style>
  <w:style w:type="paragraph" w:customStyle="1" w:styleId="EndNoteBibliographyTitle">
    <w:name w:val="EndNote Bibliography Title"/>
    <w:basedOn w:val="Normal"/>
    <w:link w:val="EndNoteBibliographyTitleChar"/>
    <w:rsid w:val="00F2257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22576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2257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22576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3362</Words>
  <Characters>19165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4</cp:revision>
  <dcterms:created xsi:type="dcterms:W3CDTF">2020-09-17T17:17:00Z</dcterms:created>
  <dcterms:modified xsi:type="dcterms:W3CDTF">2020-09-21T20:58:00Z</dcterms:modified>
</cp:coreProperties>
</file>