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88.jpg" ContentType="image/jpeg"/>
  <Override PartName="/word/media/rId90.jpg" ContentType="image/jpeg"/>
  <Override PartName="/word/media/rId86.jpg" ContentType="image/jpeg"/>
  <Override PartName="/word/media/rId84.jpg" ContentType="image/jpeg"/>
  <Override PartName="/word/media/rId82.jpg" ContentType="image/jpe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28</w:t>
      </w:r>
      <w:r>
        <w:t xml:space="preserve"> </w:t>
      </w:r>
      <w:r>
        <w:t xml:space="preserve">January,</w:t>
      </w:r>
      <w:r>
        <w:t xml:space="preserve"> </w:t>
      </w:r>
      <w:r>
        <w:t xml:space="preserve">2018</w:t>
      </w:r>
    </w:p>
    <w:p>
      <w:pPr>
        <w:pStyle w:val="Heading1"/>
      </w:pPr>
      <w:bookmarkStart w:id="21" w:name="evaluation-context-for-the-pspap-v.-2.0"/>
      <w:bookmarkEnd w:id="21"/>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to be a necessary part of the pallid sturgeon</w:t>
      </w:r>
      <w:r>
        <w:t xml:space="preserve"> </w:t>
      </w:r>
      <w:r>
        <w:t xml:space="preserve">monitoring strategy, but it is not considered to be sufficient for</w:t>
      </w:r>
      <w:r>
        <w:t xml:space="preserve"> </w:t>
      </w:r>
      <w:r>
        <w:t xml:space="preserve">monitoring needs. Instead, it is designed to be complementary to three</w:t>
      </w:r>
      <w:r>
        <w:t xml:space="preserve"> </w:t>
      </w:r>
      <w:r>
        <w:t xml:space="preserve">other components: effectiveness monitoring, focused research studies,</w:t>
      </w:r>
      <w:r>
        <w:t xml:space="preserve"> </w:t>
      </w:r>
      <w:r>
        <w:t xml:space="preserve">and the collaborative population model. These four components define the</w:t>
      </w:r>
      <w:r>
        <w:t xml:space="preserve"> </w:t>
      </w:r>
      <w:r>
        <w:t xml:space="preserve">information framework needed to understand and predict population</w:t>
      </w:r>
      <w:r>
        <w:t xml:space="preserve"> </w:t>
      </w:r>
      <w:r>
        <w:t xml:space="preserve">responses to management action (fig. 1).</w:t>
      </w:r>
    </w:p>
    <w:p>
      <w:pPr>
        <w:pStyle w:val="Compact"/>
        <w:numPr>
          <w:numId w:val="1001"/>
          <w:ilvl w:val="0"/>
        </w:numPr>
      </w:pPr>
      <w:r>
        <w:t xml:space="preserve">Pallid Sturgeon Population Assessment Program v. 2.0. 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2"/>
          <w:ilvl w:val="1"/>
        </w:numPr>
      </w:pPr>
      <w:r>
        <w:t xml:space="preserve">Discern status and trends of the pallid sturgeon population; serve</w:t>
      </w:r>
      <w:r>
        <w:t xml:space="preserve"> </w:t>
      </w:r>
      <w:r>
        <w:t xml:space="preserve">as validation of model predictions.</w:t>
      </w:r>
    </w:p>
    <w:p>
      <w:pPr>
        <w:pStyle w:val="Compact"/>
        <w:numPr>
          <w:numId w:val="1002"/>
          <w:ilvl w:val="1"/>
        </w:numPr>
      </w:pPr>
      <w:r>
        <w:t xml:space="preserve">Complement and enhance understanding of linkages from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augmentation and stocking decisions.</w:t>
      </w:r>
    </w:p>
    <w:p>
      <w:pPr>
        <w:pStyle w:val="Compact"/>
        <w:numPr>
          <w:numId w:val="1001"/>
          <w:ilvl w:val="0"/>
        </w:numPr>
      </w:pPr>
      <w:r>
        <w:t xml:space="preserve">Effectiveness monitoring.</w:t>
      </w:r>
      <w:r>
        <w:t xml:space="preserve"> </w:t>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1"/>
          <w:ilvl w:val="0"/>
        </w:numPr>
      </w:pPr>
      <w:r>
        <w:t xml:space="preserve">Focused research studies. 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1"/>
          <w:ilvl w:val="0"/>
        </w:numPr>
      </w:pPr>
      <w:r>
        <w:t xml:space="preserve">Collaborative Population Model. 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paper focuses on the design process elements for</w:t>
      </w:r>
      <w:r>
        <w:t xml:space="preserve"> </w:t>
      </w:r>
      <w:r>
        <w:t xml:space="preserve">PSPAP v. 2.0. It should be noted that this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are using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r>
        <w:t xml:space="preserve"> </w:t>
      </w:r>
      <w:r>
        <w:t xml:space="preserve">This process began in March 2017 and is expected to extend through early</w:t>
      </w:r>
      <w:r>
        <w:t xml:space="preserve"> </w:t>
      </w:r>
      <w:r>
        <w:t xml:space="preserve">spring 2019, according to this schedule:</w:t>
      </w:r>
    </w:p>
    <w:p>
      <w:pPr>
        <w:pStyle w:val="Compact"/>
        <w:numPr>
          <w:numId w:val="1003"/>
          <w:ilvl w:val="0"/>
        </w:numPr>
      </w:pPr>
      <w:r>
        <w:t xml:space="preserve">March 21, 2017: Workshop developing objective hierarchy and elicit</w:t>
      </w:r>
      <w:r>
        <w:t xml:space="preserve"> </w:t>
      </w:r>
      <w:r>
        <w:t xml:space="preserve">logistical sampling information from stakeholders</w:t>
      </w:r>
    </w:p>
    <w:p>
      <w:pPr>
        <w:pStyle w:val="Compact"/>
        <w:numPr>
          <w:numId w:val="1003"/>
          <w:ilvl w:val="0"/>
        </w:numPr>
      </w:pPr>
      <w:r>
        <w:t xml:space="preserve">Spring 2017 – Fall 2017: Model sampling scenarios – explore approaches</w:t>
      </w:r>
      <w:r>
        <w:t xml:space="preserve"> </w:t>
      </w:r>
      <w:r>
        <w:t xml:space="preserve">to meeting objectives, mix of methods, benefit:cost of objectives.</w:t>
      </w:r>
      <w:r>
        <w:t xml:space="preserve"> </w:t>
      </w:r>
      <w:r>
        <w:t xml:space="preserve">Communicate progress through PSPAP v. 2.0 blog.</w:t>
      </w:r>
    </w:p>
    <w:p>
      <w:pPr>
        <w:pStyle w:val="Compact"/>
        <w:numPr>
          <w:numId w:val="1003"/>
          <w:ilvl w:val="0"/>
        </w:numPr>
      </w:pPr>
      <w:r>
        <w:t xml:space="preserve">August 31, 2017: Webinar to document progress, elicit additional</w:t>
      </w:r>
      <w:r>
        <w:t xml:space="preserve"> </w:t>
      </w:r>
      <w:r>
        <w:t xml:space="preserve">information on objectives hierarchy and sampling logistics.</w:t>
      </w:r>
    </w:p>
    <w:p>
      <w:pPr>
        <w:pStyle w:val="Compact"/>
        <w:numPr>
          <w:numId w:val="1003"/>
          <w:ilvl w:val="0"/>
        </w:numPr>
      </w:pPr>
      <w:r>
        <w:t xml:space="preserve">October 2017: Complete white paper for ISAP review.</w:t>
      </w:r>
    </w:p>
    <w:p>
      <w:pPr>
        <w:pStyle w:val="Compact"/>
        <w:numPr>
          <w:numId w:val="1003"/>
          <w:ilvl w:val="0"/>
        </w:numPr>
      </w:pPr>
      <w:r>
        <w:t xml:space="preserve">Late Fall 2017: Meeting to present design results to agencies,</w:t>
      </w:r>
      <w:r>
        <w:t xml:space="preserve"> </w:t>
      </w:r>
      <w:r>
        <w:t xml:space="preserve">stakeholders.</w:t>
      </w:r>
    </w:p>
    <w:p>
      <w:pPr>
        <w:pStyle w:val="Compact"/>
        <w:numPr>
          <w:numId w:val="1003"/>
          <w:ilvl w:val="0"/>
        </w:numPr>
      </w:pPr>
      <w:r>
        <w:t xml:space="preserve">December 2017: Deliver draft PSPAP v. 2.0 sample-design report.</w:t>
      </w:r>
    </w:p>
    <w:p>
      <w:pPr>
        <w:pStyle w:val="Compact"/>
        <w:numPr>
          <w:numId w:val="1003"/>
          <w:ilvl w:val="0"/>
        </w:numPr>
      </w:pPr>
      <w:r>
        <w:t xml:space="preserve">Winter 2017-2018: Agency review, ISAP review, and revisions</w:t>
      </w:r>
    </w:p>
    <w:p>
      <w:pPr>
        <w:pStyle w:val="Compact"/>
        <w:numPr>
          <w:numId w:val="1003"/>
          <w:ilvl w:val="0"/>
        </w:numPr>
      </w:pPr>
      <w:r>
        <w:t xml:space="preserve">Spring 2018: Implement the design on a pilot basis.</w:t>
      </w:r>
    </w:p>
    <w:p>
      <w:pPr>
        <w:pStyle w:val="Compact"/>
        <w:numPr>
          <w:numId w:val="1003"/>
          <w:ilvl w:val="0"/>
        </w:numPr>
      </w:pPr>
      <w:r>
        <w:t xml:space="preserve">Spring – Fall 2018: Revise, refine models and protocol. Finalize</w:t>
      </w:r>
      <w:r>
        <w:t xml:space="preserve"> </w:t>
      </w:r>
      <w:r>
        <w:t xml:space="preserve">design report.</w:t>
      </w:r>
    </w:p>
    <w:p>
      <w:pPr>
        <w:pStyle w:val="Compact"/>
        <w:numPr>
          <w:numId w:val="1003"/>
          <w:ilvl w:val="0"/>
        </w:numPr>
      </w:pPr>
      <w:r>
        <w:t xml:space="preserve">Spring 2019: Implement PSPAP v. 2.0.</w:t>
      </w:r>
    </w:p>
    <w:p>
      <w:pPr>
        <w:pStyle w:val="Heading1"/>
      </w:pPr>
      <w:bookmarkStart w:id="22" w:name="background-of-pspap-v.-2.0-design"/>
      <w:bookmarkEnd w:id="22"/>
      <w:r>
        <w:t xml:space="preserve">Background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Success of the</w:t>
      </w:r>
      <w:r>
        <w:t xml:space="preserve"> </w:t>
      </w:r>
      <w:r>
        <w:t xml:space="preserve">second sub-objective (maintain or increase numbers of pallid sturgeon as</w:t>
      </w:r>
      <w:r>
        <w:t xml:space="preserve"> </w:t>
      </w:r>
      <w:r>
        <w:t xml:space="preserve">an interim measure) can be assessed through direct empirical abundance</w:t>
      </w:r>
      <w:r>
        <w:t xml:space="preserve"> </w:t>
      </w:r>
      <w:r>
        <w:t xml:space="preserve">and 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Heading1"/>
      </w:pPr>
      <w:bookmarkStart w:id="23" w:name="redesign-objectives"/>
      <w:bookmarkEnd w:id="23"/>
      <w:r>
        <w:t xml:space="preserve">Redesign objectives</w:t>
      </w:r>
    </w:p>
    <w:p>
      <w:pPr>
        <w:pStyle w:val="FirstParagraph"/>
      </w:pPr>
      <w:r>
        <w:t xml:space="preserve">The objective of the redesign effort is to identify sampling designs and</w:t>
      </w:r>
      <w:r>
        <w:t xml:space="preserve"> </w:t>
      </w:r>
      <w:r>
        <w:t xml:space="preserve">abundance and trend estimators 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but not overwhelm the document with</w:t>
      </w:r>
      <w:r>
        <w:t xml:space="preserve"> </w:t>
      </w:r>
      <w:r>
        <w:t xml:space="preserve">technical details. It should also be noted that evaluating alternative</w:t>
      </w:r>
      <w:r>
        <w:t xml:space="preserve"> </w:t>
      </w:r>
      <w:r>
        <w:t xml:space="preserve">monitoring designs is not trivial, and at times requires days of</w:t>
      </w:r>
      <w:r>
        <w:t xml:space="preserve"> </w:t>
      </w:r>
      <w:r>
        <w:t xml:space="preserve">computing time to run estimators and various simulations with sufficient</w:t>
      </w:r>
      <w:r>
        <w:t xml:space="preserve"> </w:t>
      </w:r>
      <w:r>
        <w:t xml:space="preserve">numbers of replications to fully characterize the potential outcomes.</w:t>
      </w:r>
    </w:p>
    <w:p>
      <w:pPr>
        <w:pStyle w:val="Heading1"/>
      </w:pPr>
      <w:bookmarkStart w:id="24" w:name="pspap-stakeholders-and-eliciting-monitoring-objectives"/>
      <w:bookmarkEnd w:id="24"/>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5"/>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6" w:name="translate-nodes-in-influence-diagram-to-quantifiable-metrics"/>
      <w:bookmarkEnd w:id="26"/>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7" w:name="simulate-the-likely-outcomes-for-a-node-conditional-on-influencing-nodes"/>
      <w:bookmarkEnd w:id="27"/>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8" w:name="simulate-a-reference-ps-population"/>
      <w:bookmarkEnd w:id="28"/>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29"/>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0" w:name="simulate-sampling-catch-data"/>
      <w:bookmarkEnd w:id="30"/>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1" w:name="estimate-metrics-from-the-catch-data"/>
      <w:bookmarkEnd w:id="31"/>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2" w:name="compare-the-estimates-to-the-true-values"/>
      <w:bookmarkEnd w:id="32"/>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3" w:name="additional-considerations-and-summary"/>
      <w:bookmarkEnd w:id="33"/>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1"/>
      </w:pPr>
      <w:bookmarkStart w:id="34" w:name="introduction"/>
      <w:bookmarkEnd w:id="34"/>
      <w:r>
        <w:t xml:space="preserve">Introduction</w:t>
      </w:r>
    </w:p>
    <w:p>
      <w:pPr>
        <w:pStyle w:val="Heading1"/>
      </w:pPr>
      <w:bookmarkStart w:id="35" w:name="methods"/>
      <w:bookmarkEnd w:id="35"/>
      <w:r>
        <w:t xml:space="preserve">Methods</w:t>
      </w:r>
    </w:p>
    <w:p>
      <w:pPr>
        <w:pStyle w:val="Heading2"/>
      </w:pPr>
      <w:bookmarkStart w:id="36" w:name="overview"/>
      <w:bookmarkEnd w:id="36"/>
      <w:r>
        <w:t xml:space="preserve">Overview</w:t>
      </w:r>
    </w:p>
    <w:p>
      <w:pPr>
        <w:pStyle w:val="Compact"/>
        <w:numPr>
          <w:numId w:val="1004"/>
          <w:ilvl w:val="0"/>
        </w:numPr>
      </w:pPr>
      <w:r>
        <w:t xml:space="preserve">Trigger</w:t>
      </w:r>
    </w:p>
    <w:p>
      <w:pPr>
        <w:pStyle w:val="Compact"/>
        <w:numPr>
          <w:numId w:val="1004"/>
          <w:ilvl w:val="0"/>
        </w:numPr>
      </w:pPr>
      <w:r>
        <w:t xml:space="preserve">Problem</w:t>
      </w:r>
    </w:p>
    <w:p>
      <w:pPr>
        <w:pStyle w:val="Compact"/>
        <w:numPr>
          <w:numId w:val="1004"/>
          <w:ilvl w:val="0"/>
        </w:numPr>
      </w:pPr>
      <w:r>
        <w:t xml:space="preserve">Stakeholder identification</w:t>
      </w:r>
    </w:p>
    <w:p>
      <w:pPr>
        <w:pStyle w:val="Compact"/>
        <w:numPr>
          <w:numId w:val="1004"/>
          <w:ilvl w:val="0"/>
        </w:numPr>
      </w:pPr>
      <w:r>
        <w:t xml:space="preserve">Objectives elicitation and structuring</w:t>
      </w:r>
    </w:p>
    <w:p>
      <w:pPr>
        <w:pStyle w:val="Compact"/>
        <w:numPr>
          <w:numId w:val="1004"/>
          <w:ilvl w:val="0"/>
        </w:numPr>
      </w:pPr>
      <w:r>
        <w:t xml:space="preserve">Decision model development</w:t>
      </w:r>
    </w:p>
    <w:p>
      <w:pPr>
        <w:pStyle w:val="Compact"/>
        <w:numPr>
          <w:numId w:val="1004"/>
          <w:ilvl w:val="0"/>
        </w:numPr>
      </w:pPr>
      <w:r>
        <w:t xml:space="preserve">Parameterization</w:t>
      </w:r>
    </w:p>
    <w:p>
      <w:pPr>
        <w:pStyle w:val="Compact"/>
        <w:numPr>
          <w:numId w:val="1004"/>
          <w:ilvl w:val="0"/>
        </w:numPr>
      </w:pPr>
      <w:r>
        <w:t xml:space="preserve">Ancillary objectives</w:t>
      </w:r>
    </w:p>
    <w:p>
      <w:pPr>
        <w:pStyle w:val="Compact"/>
        <w:numPr>
          <w:numId w:val="1005"/>
          <w:ilvl w:val="1"/>
        </w:numPr>
      </w:pPr>
      <w:r>
        <w:t xml:space="preserve">Identification</w:t>
      </w:r>
    </w:p>
    <w:p>
      <w:pPr>
        <w:pStyle w:val="Compact"/>
        <w:numPr>
          <w:numId w:val="1005"/>
          <w:ilvl w:val="1"/>
        </w:numPr>
      </w:pPr>
      <w:r>
        <w:t xml:space="preserve">Valuation</w:t>
      </w:r>
    </w:p>
    <w:p>
      <w:pPr>
        <w:pStyle w:val="Compact"/>
        <w:numPr>
          <w:numId w:val="1005"/>
          <w:ilvl w:val="1"/>
        </w:numPr>
      </w:pPr>
      <w:r>
        <w:t xml:space="preserve">Optimization</w:t>
      </w:r>
    </w:p>
    <w:p>
      <w:pPr>
        <w:pStyle w:val="Heading2"/>
      </w:pPr>
      <w:bookmarkStart w:id="37" w:name="eliciting-stakeholder-objectives"/>
      <w:bookmarkEnd w:id="37"/>
      <w:r>
        <w:t xml:space="preserve">Eliciting stakeholder objectives</w:t>
      </w:r>
    </w:p>
    <w:p>
      <w:pPr>
        <w:pStyle w:val="Heading3"/>
      </w:pPr>
      <w:bookmarkStart w:id="38" w:name="objectives-hierarchy-and-attributes"/>
      <w:bookmarkEnd w:id="38"/>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6"/>
          <w:ilvl w:val="0"/>
        </w:numPr>
      </w:pPr>
      <w:r>
        <w:rPr>
          <w:b/>
        </w:rPr>
        <w:t xml:space="preserve">Quantify PS recruitment to age-1 (Natural origin)</w:t>
      </w:r>
    </w:p>
    <w:p>
      <w:pPr>
        <w:pStyle w:val="Compact"/>
        <w:numPr>
          <w:numId w:val="1007"/>
          <w:ilvl w:val="1"/>
        </w:numPr>
      </w:pPr>
      <w:r>
        <w:t xml:space="preserve">Power to detect age-1 natural origin recruits if recruitment occurs</w:t>
      </w:r>
    </w:p>
    <w:p>
      <w:pPr>
        <w:pStyle w:val="Compact"/>
        <w:numPr>
          <w:numId w:val="1007"/>
          <w:ilvl w:val="1"/>
        </w:numPr>
      </w:pPr>
      <w:r>
        <w:t xml:space="preserve">Segment level age-1 abundance</w:t>
      </w:r>
      <w:r>
        <w:t xml:space="preserve"> </w:t>
      </w:r>
    </w:p>
    <w:p>
      <w:pPr>
        <w:pStyle w:val="Compact"/>
        <w:numPr>
          <w:numId w:val="1008"/>
          <w:ilvl w:val="2"/>
        </w:numPr>
      </w:pPr>
      <w:r>
        <w:t xml:space="preserve">bias</w:t>
      </w:r>
    </w:p>
    <w:p>
      <w:pPr>
        <w:pStyle w:val="Compact"/>
        <w:numPr>
          <w:numId w:val="1008"/>
          <w:ilvl w:val="2"/>
        </w:numPr>
      </w:pPr>
      <w:r>
        <w:t xml:space="preserve">precision</w:t>
      </w:r>
    </w:p>
    <w:p>
      <w:pPr>
        <w:pStyle w:val="Compact"/>
        <w:numPr>
          <w:numId w:val="1007"/>
          <w:ilvl w:val="1"/>
        </w:numPr>
      </w:pPr>
      <w:r>
        <w:t xml:space="preserve">Estimate age-1 recruitment rate (natural origin)</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6"/>
          <w:ilvl w:val="0"/>
        </w:numPr>
      </w:pPr>
      <w:r>
        <w:rPr>
          <w:b/>
        </w:rPr>
        <w:t xml:space="preserve">Quantify PS population trend (natural and hatchery origin)</w:t>
      </w:r>
    </w:p>
    <w:p>
      <w:pPr>
        <w:pStyle w:val="Compact"/>
        <w:numPr>
          <w:numId w:val="1010"/>
          <w:ilvl w:val="1"/>
        </w:numPr>
      </w:pPr>
      <w:r>
        <w:t xml:space="preserve">Estimate RPMA level population growth rate</w:t>
      </w:r>
      <w:r>
        <w:t xml:space="preserve"> </w:t>
      </w:r>
      <m:oMath>
        <m:r>
          <m:t>λ</m:t>
        </m:r>
      </m:oMath>
      <w:r>
        <w:t xml:space="preserve"> </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06"/>
          <w:ilvl w:val="0"/>
        </w:numPr>
      </w:pPr>
      <w:r>
        <w:rPr>
          <w:b/>
        </w:rPr>
        <w:t xml:space="preserve">Provide relevant PS model inputs</w:t>
      </w:r>
    </w:p>
    <w:p>
      <w:pPr>
        <w:pStyle w:val="Compact"/>
        <w:numPr>
          <w:numId w:val="1012"/>
          <w:ilvl w:val="1"/>
        </w:numPr>
      </w:pPr>
      <w:r>
        <w:t xml:space="preserve">Estimate segment-level abundance, origin and stage specific</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spatial distribution</w:t>
      </w:r>
    </w:p>
    <w:p>
      <w:pPr>
        <w:pStyle w:val="Compact"/>
        <w:numPr>
          <w:numId w:val="1012"/>
          <w:ilvl w:val="1"/>
        </w:numPr>
      </w:pPr>
      <w:r>
        <w:t xml:space="preserve">Survival (RPMA level)</w:t>
      </w:r>
    </w:p>
    <w:p>
      <w:pPr>
        <w:pStyle w:val="Compact"/>
        <w:numPr>
          <w:numId w:val="1014"/>
          <w:ilvl w:val="2"/>
        </w:numPr>
      </w:pPr>
      <w:r>
        <w:t xml:space="preserve">bias</w:t>
      </w:r>
    </w:p>
    <w:p>
      <w:pPr>
        <w:pStyle w:val="Compact"/>
        <w:numPr>
          <w:numId w:val="1014"/>
          <w:ilvl w:val="2"/>
        </w:numPr>
      </w:pPr>
      <w:r>
        <w:t xml:space="preserve">precision</w:t>
      </w:r>
    </w:p>
    <w:p>
      <w:pPr>
        <w:pStyle w:val="Compact"/>
        <w:numPr>
          <w:numId w:val="1012"/>
          <w:ilvl w:val="1"/>
        </w:numPr>
      </w:pPr>
      <w:r>
        <w:t xml:space="preserve">Fecundity (RPMA level)</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2"/>
          <w:ilvl w:val="1"/>
        </w:numPr>
      </w:pPr>
      <w:r>
        <w:t xml:space="preserve">Growth (RPMA)</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2"/>
          <w:ilvl w:val="1"/>
        </w:numPr>
      </w:pPr>
      <w:r>
        <w:t xml:space="preserve">Movement</w:t>
      </w:r>
    </w:p>
    <w:p>
      <w:pPr>
        <w:pStyle w:val="Compact"/>
        <w:numPr>
          <w:numId w:val="1017"/>
          <w:ilvl w:val="2"/>
        </w:numPr>
      </w:pPr>
      <w:r>
        <w:t xml:space="preserve">fidelity</w:t>
      </w:r>
    </w:p>
    <w:p>
      <w:pPr>
        <w:pStyle w:val="Compact"/>
        <w:numPr>
          <w:numId w:val="1017"/>
          <w:ilvl w:val="2"/>
        </w:numPr>
      </w:pPr>
      <w:r>
        <w:t xml:space="preserve">among segment movement</w:t>
      </w:r>
    </w:p>
    <w:p>
      <w:pPr>
        <w:pStyle w:val="Compact"/>
        <w:numPr>
          <w:numId w:val="1012"/>
          <w:ilvl w:val="1"/>
        </w:numPr>
      </w:pPr>
      <w:r>
        <w:t xml:space="preserve">Population structure and characteristics (segment level)</w:t>
      </w:r>
    </w:p>
    <w:p>
      <w:pPr>
        <w:pStyle w:val="Compact"/>
        <w:numPr>
          <w:numId w:val="1018"/>
          <w:ilvl w:val="2"/>
        </w:numPr>
      </w:pPr>
      <w:r>
        <w:t xml:space="preserve">Size structure</w:t>
      </w:r>
    </w:p>
    <w:p>
      <w:pPr>
        <w:pStyle w:val="Compact"/>
        <w:numPr>
          <w:numId w:val="1019"/>
          <w:ilvl w:val="3"/>
        </w:numPr>
      </w:pPr>
      <w:r>
        <w:t xml:space="preserve">bias</w:t>
      </w:r>
    </w:p>
    <w:p>
      <w:pPr>
        <w:pStyle w:val="Compact"/>
        <w:numPr>
          <w:numId w:val="1019"/>
          <w:ilvl w:val="3"/>
        </w:numPr>
      </w:pPr>
      <w:r>
        <w:t xml:space="preserve">precision</w:t>
      </w:r>
    </w:p>
    <w:p>
      <w:pPr>
        <w:pStyle w:val="Compact"/>
        <w:numPr>
          <w:numId w:val="1012"/>
          <w:ilvl w:val="1"/>
        </w:numPr>
      </w:pPr>
      <w:r>
        <w:t xml:space="preserve">Sex ratio (segment level)</w:t>
      </w:r>
    </w:p>
    <w:p>
      <w:pPr>
        <w:pStyle w:val="Compact"/>
        <w:numPr>
          <w:numId w:val="1020"/>
          <w:ilvl w:val="2"/>
        </w:numPr>
      </w:pPr>
      <w:r>
        <w:t xml:space="preserve">bias</w:t>
      </w:r>
    </w:p>
    <w:p>
      <w:pPr>
        <w:pStyle w:val="Compact"/>
        <w:numPr>
          <w:numId w:val="1020"/>
          <w:ilvl w:val="2"/>
        </w:numPr>
      </w:pPr>
      <w:r>
        <w:t xml:space="preserve">precision</w:t>
      </w:r>
    </w:p>
    <w:p>
      <w:pPr>
        <w:pStyle w:val="Compact"/>
        <w:numPr>
          <w:numId w:val="1006"/>
          <w:ilvl w:val="0"/>
        </w:numPr>
      </w:pPr>
      <w:r>
        <w:rPr>
          <w:b/>
        </w:rPr>
        <w:t xml:space="preserve">Maintain compatibility with legacy PSPAP data</w:t>
      </w:r>
      <w:r>
        <w:t xml:space="preserve"> </w:t>
      </w:r>
    </w:p>
    <w:p>
      <w:pPr>
        <w:pStyle w:val="Compact"/>
        <w:numPr>
          <w:numId w:val="1021"/>
          <w:ilvl w:val="1"/>
        </w:numPr>
      </w:pPr>
      <w:r>
        <w:t xml:space="preserve">Proportion of randomly selected bends within segment</w:t>
      </w:r>
    </w:p>
    <w:p>
      <w:pPr>
        <w:pStyle w:val="Compact"/>
        <w:numPr>
          <w:numId w:val="1021"/>
          <w:ilvl w:val="1"/>
        </w:numPr>
      </w:pPr>
      <w:r>
        <w:t xml:space="preserve">Gears similarity: proportion of standard gears used by design</w:t>
      </w:r>
    </w:p>
    <w:p>
      <w:pPr>
        <w:pStyle w:val="Compact"/>
        <w:numPr>
          <w:numId w:val="1021"/>
          <w:ilvl w:val="1"/>
        </w:numPr>
      </w:pPr>
      <w:r>
        <w:t xml:space="preserve">Effort similarity: deviation from average effort</w:t>
      </w:r>
    </w:p>
    <w:p>
      <w:pPr>
        <w:pStyle w:val="Compact"/>
        <w:numPr>
          <w:numId w:val="1006"/>
          <w:ilvl w:val="0"/>
        </w:numPr>
      </w:pPr>
      <w:r>
        <w:rPr>
          <w:b/>
        </w:rPr>
        <w:t xml:space="preserve">Stay below cost constraints</w:t>
      </w:r>
    </w:p>
    <w:p>
      <w:pPr>
        <w:pStyle w:val="Compact"/>
        <w:numPr>
          <w:numId w:val="1022"/>
          <w:ilvl w:val="1"/>
        </w:numPr>
      </w:pPr>
      <w:r>
        <w:t xml:space="preserve">Minimize costs</w:t>
      </w:r>
    </w:p>
    <w:p>
      <w:pPr>
        <w:pStyle w:val="Heading1"/>
      </w:pPr>
      <w:bookmarkStart w:id="39" w:name="overview-1"/>
      <w:bookmarkEnd w:id="39"/>
      <w:r>
        <w:t xml:space="preserve">Overview</w:t>
      </w:r>
    </w:p>
    <w:p>
      <w:pPr>
        <w:pStyle w:val="FirstParagraph"/>
      </w:pPr>
      <w:r>
        <w:t xml:space="preserve">A set of reference populations of known pallid sturgeon abundance was</w:t>
      </w:r>
      <w:r>
        <w:t xml:space="preserve"> </w:t>
      </w:r>
      <w:r>
        <w:t xml:space="preserve">needed to evaluate varying monitoring designs and their ability to</w:t>
      </w:r>
      <w:r>
        <w:t xml:space="preserve"> </w:t>
      </w:r>
      <w:r>
        <w:t xml:space="preserve">achieve the fundamental objectives identified during the first</w:t>
      </w:r>
      <w:r>
        <w:t xml:space="preserve"> </w:t>
      </w:r>
      <w:r>
        <w:t xml:space="preserve">population assessment program workshop (See Section ??).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 (e.g.</w:t>
      </w:r>
      <w:r>
        <w:t xml:space="preserve"> </w:t>
      </w:r>
      <w:r>
        <w:t xml:space="preserve">gear selectivity), data on individuals (e.g., growth) was also</w:t>
      </w:r>
      <w:r>
        <w:t xml:space="preserve"> </w:t>
      </w:r>
      <w:r>
        <w:t xml:space="preserve">simulated.</w:t>
      </w:r>
    </w:p>
    <w:p>
      <w:pPr>
        <w:pStyle w:val="Heading3"/>
      </w:pPr>
      <w:bookmarkStart w:id="40" w:name="objectives"/>
      <w:bookmarkEnd w:id="40"/>
      <w:r>
        <w:t xml:space="preserve">Objectives</w:t>
      </w:r>
    </w:p>
    <w:p>
      <w:pPr>
        <w:pStyle w:val="FirstParagraph"/>
      </w:pPr>
      <w:r>
        <w:t xml:space="preserve">The objectives of this analysis were to:</w:t>
      </w:r>
    </w:p>
    <w:p>
      <w:pPr>
        <w:pStyle w:val="Compact"/>
        <w:numPr>
          <w:numId w:val="1023"/>
          <w:ilvl w:val="0"/>
        </w:numPr>
      </w:pPr>
      <w:r>
        <w:t xml:space="preserve">Create a set of spatially explicit pallid sturgeon population with</w:t>
      </w:r>
      <w:r>
        <w:t xml:space="preserve"> </w:t>
      </w:r>
      <w:r>
        <w:t xml:space="preserve">known bend-level annual abundances,</w:t>
      </w:r>
    </w:p>
    <w:p>
      <w:pPr>
        <w:pStyle w:val="Compact"/>
        <w:numPr>
          <w:numId w:val="1023"/>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3"/>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41" w:name="major-assumptions"/>
      <w:bookmarkEnd w:id="41"/>
      <w:r>
        <w:t xml:space="preserve">Major Assumptions</w:t>
      </w:r>
    </w:p>
    <w:p>
      <w:pPr>
        <w:pStyle w:val="Compact"/>
        <w:numPr>
          <w:numId w:val="1024"/>
          <w:ilvl w:val="0"/>
        </w:numPr>
      </w:pPr>
      <w:r>
        <w:t xml:space="preserve">Survival probability is homogeneous among all individuals and</w:t>
      </w:r>
      <w:r>
        <w:t xml:space="preserve"> </w:t>
      </w:r>
      <w:r>
        <w:t xml:space="preserve">independent of space and time.</w:t>
      </w:r>
    </w:p>
    <w:p>
      <w:pPr>
        <w:pStyle w:val="Compact"/>
        <w:numPr>
          <w:numId w:val="1024"/>
          <w:ilvl w:val="0"/>
        </w:numPr>
      </w:pPr>
      <w:r>
        <w:t xml:space="preserve">Individual fish growth follows a von Bertalanffy growth equation.</w:t>
      </w:r>
    </w:p>
    <w:p>
      <w:pPr>
        <w:pStyle w:val="Compact"/>
        <w:numPr>
          <w:numId w:val="1024"/>
          <w:ilvl w:val="0"/>
        </w:numPr>
      </w:pPr>
      <w:r>
        <w:t xml:space="preserve">There is no movement within years.</w:t>
      </w:r>
    </w:p>
    <w:p>
      <w:pPr>
        <w:pStyle w:val="Compact"/>
        <w:numPr>
          <w:numId w:val="1024"/>
          <w:ilvl w:val="0"/>
        </w:numPr>
      </w:pPr>
      <w:r>
        <w:t xml:space="preserve">Movement within a basin can occur between years.</w:t>
      </w:r>
    </w:p>
    <w:p>
      <w:pPr>
        <w:pStyle w:val="Compact"/>
        <w:numPr>
          <w:numId w:val="1024"/>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(Cite Kirk,</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1"/>
      </w:pPr>
      <w:bookmarkStart w:id="42" w:name="methods-1"/>
      <w:bookmarkEnd w:id="42"/>
      <w:r>
        <w:t xml:space="preserve">Methods</w:t>
      </w:r>
    </w:p>
    <w:p>
      <w:pPr>
        <w:pStyle w:val="Heading3"/>
      </w:pPr>
      <w:bookmarkStart w:id="43" w:name="spatial-extent-and-grain"/>
      <w:bookmarkEnd w:id="4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44" w:name="population-initialization"/>
      <w:bookmarkEnd w:id="4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xx steps: 1. initializing bend-level abundance,</w:t>
      </w:r>
      <w:r>
        <w:t xml:space="preserve"> </w:t>
      </w:r>
      <w:r>
        <w:t xml:space="preserve">2. initializing lengths and growth parameters of individuals within each</w:t>
      </w:r>
      <w:r>
        <w:t xml:space="preserve"> </w:t>
      </w:r>
      <w:r>
        <w:t xml:space="preserve">bend, 3. assigning demographic rates (i.e., sex, origin).</w:t>
      </w:r>
    </w:p>
    <w:p>
      <w:pPr>
        <w:pStyle w:val="Heading4"/>
      </w:pPr>
      <w:bookmarkStart w:id="45" w:name="bend-abundance"/>
      <w:bookmarkEnd w:id="4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5"/>
          <w:ilvl w:val="0"/>
        </w:numPr>
      </w:pPr>
      <m:oMath>
        <m:r>
          <m:t>N</m:t>
        </m:r>
      </m:oMath>
      <w:r>
        <w:t xml:space="preserve"> </w:t>
      </w:r>
      <w:r>
        <w:t xml:space="preserve">is the number of pallid sturgeon within each bend,</w:t>
      </w:r>
    </w:p>
    <w:p>
      <w:pPr>
        <w:pStyle w:val="Compact"/>
        <w:numPr>
          <w:numId w:val="1025"/>
          <w:ilvl w:val="0"/>
        </w:numPr>
      </w:pPr>
      <m:oMath>
        <m:r>
          <m:t>λ</m:t>
        </m:r>
      </m:oMath>
      <w:r>
        <w:t xml:space="preserve"> </w:t>
      </w:r>
      <w:r>
        <w:t xml:space="preserve">is the segment and origin specific density in fish per RKM,</w:t>
      </w:r>
    </w:p>
    <w:p>
      <w:pPr>
        <w:pStyle w:val="Compact"/>
        <w:numPr>
          <w:numId w:val="1025"/>
          <w:ilvl w:val="0"/>
        </w:numPr>
      </w:pPr>
      <m:oMath>
        <m:r>
          <m:t>l</m:t>
        </m:r>
      </m:oMath>
      <w:r>
        <w:t xml:space="preserve"> </w:t>
      </w:r>
      <w:r>
        <w:t xml:space="preserve">is bend length in RKM,</w:t>
      </w:r>
    </w:p>
    <w:p>
      <w:pPr>
        <w:pStyle w:val="Compact"/>
        <w:numPr>
          <w:numId w:val="1025"/>
          <w:ilvl w:val="0"/>
        </w:numPr>
      </w:pPr>
      <m:oMath>
        <m:r>
          <m:t>s</m:t>
        </m:r>
        <m:r>
          <m:t>e</m:t>
        </m:r>
        <m:r>
          <m:t>g</m:t>
        </m:r>
        <m:r>
          <m:t>m</m:t>
        </m:r>
        <m:r>
          <m:t>e</m:t>
        </m:r>
        <m:r>
          <m:t>n</m:t>
        </m:r>
        <m:r>
          <m:t>t</m:t>
        </m:r>
      </m:oMath>
      <w:r>
        <w:t xml:space="preserve"> </w:t>
      </w:r>
      <w:r>
        <w:t xml:space="preserve">indexes segment within universe,</w:t>
      </w:r>
    </w:p>
    <w:p>
      <w:pPr>
        <w:pStyle w:val="Compact"/>
        <w:numPr>
          <w:numId w:val="1025"/>
          <w:ilvl w:val="0"/>
        </w:numPr>
      </w:pPr>
      <m:oMath>
        <m:r>
          <m:t>b</m:t>
        </m:r>
        <m:r>
          <m:t>e</m:t>
        </m:r>
        <m:r>
          <m:t>n</m:t>
        </m:r>
        <m:r>
          <m:t>d</m:t>
        </m:r>
      </m:oMath>
      <w:r>
        <w:t xml:space="preserve"> </w:t>
      </w:r>
      <w:r>
        <w:t xml:space="preserve">indexes bend within segment, and</w:t>
      </w:r>
    </w:p>
    <w:p>
      <w:pPr>
        <w:pStyle w:val="Compact"/>
        <w:numPr>
          <w:numId w:val="1025"/>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6"/>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6"/>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6"/>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46" w:name="assigning-length-and-growth-parameters-to-individuals"/>
      <w:bookmarkEnd w:id="4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 (FURTHER</w:t>
      </w:r>
      <w:r>
        <w:t xml:space="preserve"> </w:t>
      </w:r>
      <w:r>
        <w:t xml:space="preserve">DESCRIPTION HERE; NEED MIKE TO DO SINCE NOT SURE HOW DONE)</w:t>
      </w:r>
      <w:r>
        <w:t xml:space="preserve"> </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47" w:name="simulating-annual-transitions"/>
      <w:bookmarkEnd w:id="4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48" w:name="survival-growth"/>
      <w:bookmarkEnd w:id="4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49" w:name="movement"/>
      <w:bookmarkEnd w:id="4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0"/>
                  <m:supHide m:val="1"/>
                </m:naryPr>
                <m:sub>
                  <m:r>
                    <m:t>k</m:t>
                  </m:r>
                </m:sub>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5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51" w:name="recruitment"/>
      <w:bookmarkEnd w:id="5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1"/>
      </w:pPr>
      <w:bookmarkStart w:id="52" w:name="overview-2"/>
      <w:bookmarkEnd w:id="52"/>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53" w:name="objectives-1"/>
      <w:bookmarkEnd w:id="53"/>
      <w:r>
        <w:t xml:space="preserve">Objectives</w:t>
      </w:r>
    </w:p>
    <w:p>
      <w:pPr>
        <w:pStyle w:val="FirstParagraph"/>
      </w:pPr>
      <w:r>
        <w:t xml:space="preserve">The objectives of this analysis were to:</w:t>
      </w:r>
    </w:p>
    <w:p>
      <w:pPr>
        <w:pStyle w:val="Compact"/>
        <w:numPr>
          <w:numId w:val="1027"/>
          <w:ilvl w:val="0"/>
        </w:numPr>
      </w:pPr>
      <w:r>
        <w:t xml:space="preserve">Simulate 10 years of bend sampling data (i.e. which bends are sampled</w:t>
      </w:r>
      <w:r>
        <w:t xml:space="preserve"> </w:t>
      </w:r>
      <w:r>
        <w:t xml:space="preserve">during which years) for various monitoring designs,</w:t>
      </w:r>
    </w:p>
    <w:p>
      <w:pPr>
        <w:pStyle w:val="Compact"/>
        <w:numPr>
          <w:numId w:val="1027"/>
          <w:ilvl w:val="0"/>
        </w:numPr>
      </w:pPr>
      <w:r>
        <w:t xml:space="preserve">Simulate 10 years of catch data for various sampling strategies using</w:t>
      </w:r>
      <w:r>
        <w:t xml:space="preserve"> </w:t>
      </w:r>
      <w:r>
        <w:t xml:space="preserve">bends as the spatial scale,</w:t>
      </w:r>
    </w:p>
    <w:p>
      <w:pPr>
        <w:pStyle w:val="Compact"/>
        <w:numPr>
          <w:numId w:val="1027"/>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27"/>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27"/>
          <w:ilvl w:val="0"/>
        </w:numPr>
      </w:pPr>
      <w:r>
        <w:t xml:space="preserve">Simulate several catch data tables per combination of reference</w:t>
      </w:r>
      <w:r>
        <w:t xml:space="preserve"> </w:t>
      </w:r>
      <w:r>
        <w:t xml:space="preserve">population and monitoring design.</w:t>
      </w:r>
    </w:p>
    <w:p>
      <w:pPr>
        <w:pStyle w:val="Heading3"/>
      </w:pPr>
      <w:bookmarkStart w:id="54" w:name="major-assumptions-1"/>
      <w:bookmarkEnd w:id="54"/>
      <w:r>
        <w:t xml:space="preserve">Major Assumptions</w:t>
      </w:r>
    </w:p>
    <w:p>
      <w:pPr>
        <w:pStyle w:val="Compact"/>
        <w:numPr>
          <w:numId w:val="1028"/>
          <w:ilvl w:val="0"/>
        </w:numPr>
      </w:pPr>
      <w:r>
        <w:t xml:space="preserve">All fish can be uniquely identified.</w:t>
      </w:r>
      <w:r>
        <w:br w:type="textWrapping"/>
      </w:r>
    </w:p>
    <w:p>
      <w:pPr>
        <w:pStyle w:val="Compact"/>
        <w:numPr>
          <w:numId w:val="1028"/>
          <w:ilvl w:val="0"/>
        </w:numPr>
      </w:pPr>
      <w:r>
        <w:t xml:space="preserve">Fish ids are not lost or overlooked.</w:t>
      </w:r>
    </w:p>
    <w:p>
      <w:pPr>
        <w:pStyle w:val="Compact"/>
        <w:numPr>
          <w:numId w:val="1028"/>
          <w:ilvl w:val="0"/>
        </w:numPr>
      </w:pPr>
      <w:r>
        <w:t xml:space="preserve">The sampling protocol is followed without exception.</w:t>
      </w:r>
    </w:p>
    <w:p>
      <w:pPr>
        <w:pStyle w:val="Compact"/>
        <w:numPr>
          <w:numId w:val="1028"/>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28"/>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55" w:name="methods-2"/>
      <w:bookmarkEnd w:id="55"/>
      <w:r>
        <w:t xml:space="preserve">Methods</w:t>
      </w:r>
    </w:p>
    <w:p>
      <w:pPr>
        <w:pStyle w:val="Heading3"/>
      </w:pPr>
      <w:bookmarkStart w:id="56" w:name="monitoring-designs"/>
      <w:bookmarkEnd w:id="56"/>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29"/>
          <w:ilvl w:val="0"/>
        </w:numPr>
      </w:pPr>
      <w:r>
        <w:t xml:space="preserve">For each year, select which bends to sample.</w:t>
      </w:r>
    </w:p>
    <w:p>
      <w:pPr>
        <w:pStyle w:val="Compact"/>
        <w:numPr>
          <w:numId w:val="1029"/>
          <w:ilvl w:val="0"/>
        </w:numPr>
      </w:pPr>
      <w:r>
        <w:t xml:space="preserve">For each occasion, select which individual fish (of those located in</w:t>
      </w:r>
      <w:r>
        <w:t xml:space="preserve"> </w:t>
      </w:r>
      <w:r>
        <w:t xml:space="preserve">the sampled bends) are caught.</w:t>
      </w:r>
    </w:p>
    <w:p>
      <w:pPr>
        <w:pStyle w:val="Heading3"/>
      </w:pPr>
      <w:bookmarkStart w:id="57" w:name="bend-selection"/>
      <w:bookmarkEnd w:id="57"/>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58" w:name="individual-captures"/>
      <w:bookmarkEnd w:id="58"/>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59" w:name="effort-distributions"/>
      <w:bookmarkEnd w:id="59"/>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60"/>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61"/>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62" w:name="catchability-distributions"/>
      <w:bookmarkEnd w:id="62"/>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63" w:name="gear-selection-and-size-selectivity"/>
      <w:bookmarkEnd w:id="63"/>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64" w:name="individual-measurements"/>
      <w:bookmarkEnd w:id="64"/>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65"/>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1"/>
      </w:pPr>
      <w:bookmarkStart w:id="66" w:name="valuing-fundamental-objectives"/>
      <w:bookmarkEnd w:id="66"/>
      <w:r>
        <w:t xml:space="preserve">Valuing fundamental objectives</w:t>
      </w:r>
    </w:p>
    <w:p>
      <w:pPr>
        <w:pStyle w:val="Heading2"/>
      </w:pPr>
      <w:bookmarkStart w:id="67" w:name="objectives-hierarchy-and-attributes-1"/>
      <w:bookmarkEnd w:id="67"/>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3"/>
      </w:pPr>
      <w:bookmarkStart w:id="68" w:name="quantify-ps-recruitment-to-age-1-natural-origin"/>
      <w:bookmarkEnd w:id="68"/>
      <w:r>
        <w:t xml:space="preserve">1. Quantify PS recruitment to age-1 (Natural origin)</w:t>
      </w:r>
    </w:p>
    <w:p>
      <w:pPr>
        <w:pStyle w:val="Compact"/>
        <w:numPr>
          <w:numId w:val="1030"/>
          <w:ilvl w:val="0"/>
        </w:numPr>
      </w:pPr>
      <w:r>
        <w:t xml:space="preserve">Power to detect age-1 natural origin recruits if recruitment occurs</w:t>
      </w:r>
    </w:p>
    <w:p>
      <w:pPr>
        <w:pStyle w:val="Compact"/>
        <w:numPr>
          <w:numId w:val="1030"/>
          <w:ilvl w:val="0"/>
        </w:numPr>
      </w:pPr>
      <w:r>
        <w:t xml:space="preserve">Segment level age-1 abundance</w:t>
      </w:r>
    </w:p>
    <w:p>
      <w:pPr>
        <w:pStyle w:val="Compact"/>
        <w:numPr>
          <w:numId w:val="1031"/>
          <w:ilvl w:val="1"/>
        </w:numPr>
      </w:pPr>
      <w:r>
        <w:t xml:space="preserve">bias</w:t>
      </w:r>
    </w:p>
    <w:p>
      <w:pPr>
        <w:pStyle w:val="Compact"/>
        <w:numPr>
          <w:numId w:val="1031"/>
          <w:ilvl w:val="1"/>
        </w:numPr>
      </w:pPr>
      <w:r>
        <w:t xml:space="preserve">precision</w:t>
      </w:r>
    </w:p>
    <w:p>
      <w:pPr>
        <w:pStyle w:val="Compact"/>
        <w:numPr>
          <w:numId w:val="1030"/>
          <w:ilvl w:val="0"/>
        </w:numPr>
      </w:pPr>
      <w:r>
        <w:t xml:space="preserve">Estimate age-1 recruitment rate (natural origin)</w:t>
      </w:r>
    </w:p>
    <w:p>
      <w:pPr>
        <w:pStyle w:val="Compact"/>
        <w:numPr>
          <w:numId w:val="1032"/>
          <w:ilvl w:val="1"/>
        </w:numPr>
      </w:pPr>
      <w:r>
        <w:t xml:space="preserve">bias</w:t>
      </w:r>
    </w:p>
    <w:p>
      <w:pPr>
        <w:pStyle w:val="Compact"/>
        <w:numPr>
          <w:numId w:val="1032"/>
          <w:ilvl w:val="1"/>
        </w:numPr>
      </w:pPr>
      <w:r>
        <w:t xml:space="preserve">precision</w:t>
      </w:r>
    </w:p>
    <w:p>
      <w:pPr>
        <w:pStyle w:val="Heading3"/>
      </w:pPr>
      <w:bookmarkStart w:id="69" w:name="quantify-ps-population-trend-natural-and-hatchery-origin"/>
      <w:bookmarkEnd w:id="69"/>
      <w:r>
        <w:t xml:space="preserve">2. Quantify PS population trend (natural and hatchery origin)</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3"/>
          <w:ilvl w:val="0"/>
        </w:numPr>
      </w:pPr>
      <w:r>
        <w:rPr>
          <w:b/>
        </w:rPr>
        <w:t xml:space="preserve">Bias: How does a trend estimate compare to the true trend.</w:t>
      </w:r>
      <w:r>
        <w:t xml:space="preserve"> </w:t>
      </w:r>
      <w:r>
        <w:t xml:space="preserve">Bias</w:t>
      </w:r>
      <w:r>
        <w:t xml:space="preserve"> </w:t>
      </w:r>
      <w:r>
        <w:t xml:space="preserve">is calculated as the true value minus the estimated value. We then</w:t>
      </w:r>
      <w:r>
        <w:t xml:space="preserve"> </w:t>
      </w:r>
      <w:r>
        <w:t xml:space="preserve">divide the bias by the true value to be able to combine estimates of</w:t>
      </w:r>
      <w:r>
        <w:t xml:space="preserve"> </w:t>
      </w:r>
      <w:r>
        <w:t xml:space="preserve">varying magnitude (i.e., survival, abundance), recall the previous post</w:t>
      </w:r>
      <w:r>
        <w:t xml:space="preserve"> </w:t>
      </w:r>
      <w:r>
        <w:t xml:space="preserve">that used proportional bias.</w:t>
      </w:r>
    </w:p>
    <w:p>
      <w:pPr>
        <w:numPr>
          <w:numId w:val="1033"/>
          <w:ilvl w:val="0"/>
        </w:numPr>
      </w:pPr>
      <w:r>
        <w:rPr>
          <w:b/>
        </w:rPr>
        <w:t xml:space="preserve">Precision: How precise are estimated trend values.</w:t>
      </w:r>
      <w:r>
        <w:t xml:space="preserve"> </w:t>
      </w:r>
      <w:r>
        <w:t xml:space="preserve">Precision is</w:t>
      </w:r>
      <w:r>
        <w:t xml:space="preserve"> </w:t>
      </w:r>
      <w:r>
        <w:t xml:space="preserve">specified as the coefficient of variation (CV) calculated as the</w:t>
      </w:r>
      <w:r>
        <w:t xml:space="preserve"> </w:t>
      </w:r>
      <w:r>
        <w:t xml:space="preserve">standard error of the estimate divided by the parameter estimate. There</w:t>
      </w:r>
      <w:r>
        <w:t xml:space="preserve"> </w:t>
      </w:r>
      <w:r>
        <w:t xml:space="preserve">is no real threshold for what is optimal for estimator precision</w:t>
      </w:r>
      <w:r>
        <w:t xml:space="preserve"> </w:t>
      </w:r>
      <w:r>
        <w:t xml:space="preserve">regarding decision making. Generally speaking, the more precise an</w:t>
      </w:r>
      <w:r>
        <w:t xml:space="preserve"> </w:t>
      </w:r>
      <w:r>
        <w:t xml:space="preserve">estimate, the better. There are other alternatives to CV. However, CV is</w:t>
      </w:r>
      <w:r>
        <w:t xml:space="preserve"> </w:t>
      </w:r>
      <w:r>
        <w:t xml:space="preserve">commonly used in fisheries and therefore likely to be familiar.</w:t>
      </w:r>
    </w:p>
    <w:p>
      <w:pPr>
        <w:numPr>
          <w:numId w:val="1033"/>
          <w:ilvl w:val="0"/>
        </w:numPr>
      </w:pPr>
      <w:r>
        <w:rPr>
          <w:b/>
        </w:rPr>
        <w:t xml:space="preserve">Performance: How likely is an estimator successful.</w:t>
      </w:r>
      <w:r>
        <w:t xml:space="preserve"> </w:t>
      </w:r>
      <w:r>
        <w:t xml:space="preserve">In some</w:t>
      </w:r>
      <w:r>
        <w:t xml:space="preserve"> </w:t>
      </w:r>
      <w:r>
        <w:t xml:space="preserve">cases, an estimator like the Robust Design may not have enough</w:t>
      </w:r>
      <w:r>
        <w:t xml:space="preserve"> </w:t>
      </w:r>
      <w:r>
        <w:t xml:space="preserve">information for the estimator to provide an actual estimate. This</w:t>
      </w:r>
      <w:r>
        <w:t xml:space="preserve"> </w:t>
      </w:r>
      <w:r>
        <w:t xml:space="preserve">measure is quantified as the proportion of stochastic simulations where</w:t>
      </w:r>
      <w:r>
        <w:t xml:space="preserve"> </w:t>
      </w:r>
      <w:r>
        <w:t xml:space="preserve">the estimator did not converge, or convergence was problematic. Let's</w:t>
      </w:r>
      <w:r>
        <w:t xml:space="preserve"> </w:t>
      </w:r>
      <w:r>
        <w:t xml:space="preserve">step through an example to clarify exactly what we are talking about.</w:t>
      </w:r>
      <w:r>
        <w:t xml:space="preserve"> </w:t>
      </w:r>
      <w:r>
        <w:t xml:space="preserve">Suppose we have randomly generated 200 Pallid Sturgeon Populations. Then</w:t>
      </w:r>
      <w:r>
        <w:t xml:space="preserve"> </w:t>
      </w:r>
      <w:r>
        <w:t xml:space="preserve">we simulate 2 alternative monitoring programs, a catch effort program</w:t>
      </w:r>
      <w:r>
        <w:t xml:space="preserve"> </w:t>
      </w:r>
      <w:r>
        <w:t xml:space="preserve">and a capture recapture program. Then we estimate trend from the</w:t>
      </w:r>
      <w:r>
        <w:t xml:space="preserve"> </w:t>
      </w:r>
      <w:r>
        <w:t xml:space="preserve">estimates from the 2 designs. In the case of a catch effort based</w:t>
      </w:r>
      <w:r>
        <w:t xml:space="preserve"> </w:t>
      </w:r>
      <w:r>
        <w:t xml:space="preserve">monitoring program, the performance is 100% because there are no</w:t>
      </w:r>
      <w:r>
        <w:t xml:space="preserve"> </w:t>
      </w:r>
      <w:r>
        <w:t xml:space="preserve">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w:t>
      </w:r>
    </w:p>
    <w:p>
      <w:pPr>
        <w:pStyle w:val="Heading3"/>
      </w:pPr>
      <w:bookmarkStart w:id="70" w:name="maintain-compatibility-with-legacy-pspap-data"/>
      <w:bookmarkEnd w:id="70"/>
      <w:r>
        <w:t xml:space="preserve">3. Maintain compatibility with legacy PSPAP data</w:t>
      </w:r>
    </w:p>
    <w:p>
      <w:pPr>
        <w:pStyle w:val="Compact"/>
        <w:numPr>
          <w:numId w:val="1034"/>
          <w:ilvl w:val="0"/>
        </w:numPr>
      </w:pPr>
      <w:r>
        <w:t xml:space="preserve">Proportion of randomly selected bends within segment</w:t>
      </w:r>
    </w:p>
    <w:p>
      <w:pPr>
        <w:pStyle w:val="Compact"/>
        <w:numPr>
          <w:numId w:val="1034"/>
          <w:ilvl w:val="0"/>
        </w:numPr>
      </w:pPr>
      <w:r>
        <w:t xml:space="preserve">Gears similarity: proportion of standard gears used by design</w:t>
      </w:r>
    </w:p>
    <w:p>
      <w:pPr>
        <w:pStyle w:val="Compact"/>
        <w:numPr>
          <w:numId w:val="1034"/>
          <w:ilvl w:val="0"/>
        </w:numPr>
      </w:pPr>
      <w:r>
        <w:t xml:space="preserve">Effort similarity: deviation from average effort</w:t>
      </w:r>
    </w:p>
    <w:p>
      <w:pPr>
        <w:pStyle w:val="Heading3"/>
      </w:pPr>
      <w:bookmarkStart w:id="71" w:name="provide-relevant-ps-model-inputs"/>
      <w:bookmarkEnd w:id="71"/>
      <w:r>
        <w:t xml:space="preserve">4. Provide relevant PS model inputs</w:t>
      </w:r>
    </w:p>
    <w:p>
      <w:pPr>
        <w:pStyle w:val="Heading3"/>
      </w:pPr>
      <w:bookmarkStart w:id="72" w:name="remain-in-cost-constraints"/>
      <w:bookmarkEnd w:id="72"/>
      <w:r>
        <w:t xml:space="preserve">5. ## Remain in cost constraints</w:t>
      </w:r>
    </w:p>
    <w:p>
      <w:pPr>
        <w:pStyle w:val="FirstParagraph"/>
      </w:pPr>
      <w:r>
        <w:t xml:space="preserve">Cost is the ultimate PSPAP constraint. Designs exceeding cost</w:t>
      </w:r>
      <w:r>
        <w:t xml:space="preserve"> </w:t>
      </w:r>
      <w:r>
        <w:t xml:space="preserve">containments will not be considered. Significant uncertainty exists in</w:t>
      </w:r>
      <w:r>
        <w:t xml:space="preserve"> </w:t>
      </w:r>
      <w:r>
        <w:t xml:space="preserve">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p>
    <w:p>
      <w:pPr>
        <w:pStyle w:val="BodyText"/>
      </w:pPr>
      <w:r>
        <w:t xml:space="preserve">Minimize costs and stay within cost constraints. The expected cost for</w:t>
      </w:r>
      <w:r>
        <w:t xml:space="preserve"> </w:t>
      </w:r>
      <w:r>
        <w:t xml:space="preserve">each design will be calculated. The expected cost can be used 2 ways.</w:t>
      </w:r>
      <w:r>
        <w:t xml:space="preserve"> </w:t>
      </w:r>
      <w:r>
        <w:t xml:space="preserve">First it can screen for designs that exceed cost constrains. Second, it</w:t>
      </w:r>
      <w:r>
        <w:t xml:space="preserve"> </w:t>
      </w:r>
      <w:r>
        <w:t xml:space="preserve">can be used in an absolute sense to quantify design cost. Lastly,it can</w:t>
      </w:r>
      <w:r>
        <w:t xml:space="preserve"> </w:t>
      </w:r>
      <w:r>
        <w:t xml:space="preserve">be used relatively by dividing the value by the expected cost of the</w:t>
      </w:r>
      <w:r>
        <w:t xml:space="preserve"> </w:t>
      </w:r>
      <w:r>
        <w:t xml:space="preserve">current PSPAP and therefore values less than 1 are cheaper and values</w:t>
      </w:r>
      <w:r>
        <w:t xml:space="preserve"> </w:t>
      </w:r>
      <w:r>
        <w:t xml:space="preserve">greater than 1 are more expensive. 1. Designs exceeding cost constraints</w:t>
      </w:r>
      <w:r>
        <w:t xml:space="preserve"> </w:t>
      </w:r>
      <w:r>
        <w:t xml:space="preserve">not considered.</w:t>
      </w:r>
    </w:p>
    <w:p>
      <w:pPr>
        <w:pStyle w:val="Heading4"/>
      </w:pPr>
      <w:bookmarkStart w:id="73" w:name="estimating-cost-per-gear-deployment"/>
      <w:bookmarkEnd w:id="73"/>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35"/>
          <w:ilvl w:val="0"/>
        </w:numPr>
      </w:pPr>
      <w:r>
        <w:t xml:space="preserve">Annual funding provided to each field crew</w:t>
      </w:r>
    </w:p>
    <w:p>
      <w:pPr>
        <w:pStyle w:val="Compact"/>
        <w:numPr>
          <w:numId w:val="1035"/>
          <w:ilvl w:val="0"/>
        </w:numPr>
      </w:pPr>
      <w:r>
        <w:t xml:space="preserve">Calculate the number of bends sampled in a year</w:t>
      </w:r>
    </w:p>
    <w:p>
      <w:pPr>
        <w:pStyle w:val="Compact"/>
        <w:numPr>
          <w:numId w:val="1035"/>
          <w:ilvl w:val="0"/>
        </w:numPr>
      </w:pPr>
      <w:r>
        <w:t xml:space="preserve">Divide the cost by the total to get a field crew specific</w:t>
      </w:r>
      <w:r>
        <w:t xml:space="preserve"> </w:t>
      </w:r>
      <w:r>
        <w:t xml:space="preserve">cost per bend.</w:t>
      </w:r>
    </w:p>
    <w:p>
      <w:pPr>
        <w:pStyle w:val="Compact"/>
        <w:numPr>
          <w:numId w:val="1035"/>
          <w:ilvl w:val="0"/>
        </w:numPr>
      </w:pPr>
      <w:r>
        <w:t xml:space="preserve">Model or empirical distribution</w:t>
      </w:r>
    </w:p>
    <w:p>
      <w:pPr>
        <w:pStyle w:val="Compact"/>
        <w:numPr>
          <w:numId w:val="1036"/>
          <w:ilvl w:val="0"/>
        </w:numPr>
      </w:pPr>
      <w:r>
        <w:t xml:space="preserve">The season will begin when water temperatures decline to 12.8C or less</w:t>
      </w:r>
      <w:r>
        <w:t xml:space="preserve"> </w:t>
      </w:r>
      <w:r>
        <w:t xml:space="preserve">(in the fall) and will continue through June 30.</w:t>
      </w:r>
    </w:p>
    <w:p>
      <w:pPr>
        <w:pStyle w:val="Compact"/>
        <w:numPr>
          <w:numId w:val="1036"/>
          <w:ilvl w:val="0"/>
        </w:numPr>
      </w:pPr>
      <w:r>
        <w:t xml:space="preserve">The Fish Community Season will be July 1 through October 30 throughout</w:t>
      </w:r>
      <w:r>
        <w:t xml:space="preserve"> </w:t>
      </w:r>
      <w:r>
        <w:t xml:space="preserve">the geographic range of the PSPAP.</w:t>
      </w:r>
    </w:p>
    <w:p>
      <w:pPr>
        <w:pStyle w:val="Heading4"/>
      </w:pPr>
      <w:bookmarkStart w:id="74" w:name="important-assumptions"/>
      <w:bookmarkEnd w:id="74"/>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Compact"/>
        <w:numPr>
          <w:numId w:val="1037"/>
          <w:ilvl w:val="0"/>
        </w:numPr>
      </w:pPr>
      <w:r>
        <w:t xml:space="preserve">Survival (RPMA level)</w:t>
      </w:r>
    </w:p>
    <w:p>
      <w:pPr>
        <w:pStyle w:val="Compact"/>
        <w:numPr>
          <w:numId w:val="1038"/>
          <w:ilvl w:val="1"/>
        </w:numPr>
      </w:pPr>
      <w:r>
        <w:t xml:space="preserve">bias</w:t>
      </w:r>
    </w:p>
    <w:p>
      <w:pPr>
        <w:pStyle w:val="Compact"/>
        <w:numPr>
          <w:numId w:val="1038"/>
          <w:ilvl w:val="1"/>
        </w:numPr>
      </w:pPr>
      <w:r>
        <w:t xml:space="preserve">precision</w:t>
      </w:r>
    </w:p>
    <w:p>
      <w:pPr>
        <w:pStyle w:val="Compact"/>
        <w:numPr>
          <w:numId w:val="1037"/>
          <w:ilvl w:val="0"/>
        </w:numPr>
      </w:pPr>
      <w:r>
        <w:t xml:space="preserve">Fecundity (RPMA level)</w:t>
      </w:r>
    </w:p>
    <w:p>
      <w:pPr>
        <w:pStyle w:val="Compact"/>
        <w:numPr>
          <w:numId w:val="1039"/>
          <w:ilvl w:val="1"/>
        </w:numPr>
      </w:pPr>
      <w:r>
        <w:t xml:space="preserve">bias</w:t>
      </w:r>
    </w:p>
    <w:p>
      <w:pPr>
        <w:pStyle w:val="Compact"/>
        <w:numPr>
          <w:numId w:val="1039"/>
          <w:ilvl w:val="1"/>
        </w:numPr>
      </w:pPr>
      <w:r>
        <w:t xml:space="preserve">precision</w:t>
      </w:r>
    </w:p>
    <w:p>
      <w:pPr>
        <w:pStyle w:val="Compact"/>
        <w:numPr>
          <w:numId w:val="1037"/>
          <w:ilvl w:val="0"/>
        </w:numPr>
      </w:pPr>
      <w:r>
        <w:t xml:space="preserve">Growth (RPMA)</w:t>
      </w:r>
    </w:p>
    <w:p>
      <w:pPr>
        <w:pStyle w:val="Compact"/>
        <w:numPr>
          <w:numId w:val="1040"/>
          <w:ilvl w:val="1"/>
        </w:numPr>
      </w:pPr>
      <w:r>
        <w:t xml:space="preserve">bias</w:t>
      </w:r>
    </w:p>
    <w:p>
      <w:pPr>
        <w:pStyle w:val="Compact"/>
        <w:numPr>
          <w:numId w:val="1040"/>
          <w:ilvl w:val="1"/>
        </w:numPr>
      </w:pPr>
      <w:r>
        <w:t xml:space="preserve">precision</w:t>
      </w:r>
    </w:p>
    <w:p>
      <w:pPr>
        <w:pStyle w:val="Compact"/>
        <w:numPr>
          <w:numId w:val="1037"/>
          <w:ilvl w:val="0"/>
        </w:numPr>
      </w:pPr>
      <w:r>
        <w:t xml:space="preserve">Movement</w:t>
      </w:r>
    </w:p>
    <w:p>
      <w:pPr>
        <w:pStyle w:val="Compact"/>
        <w:numPr>
          <w:numId w:val="1041"/>
          <w:ilvl w:val="1"/>
        </w:numPr>
      </w:pPr>
      <w:r>
        <w:t xml:space="preserve">fidelity</w:t>
      </w:r>
    </w:p>
    <w:p>
      <w:pPr>
        <w:pStyle w:val="Compact"/>
        <w:numPr>
          <w:numId w:val="1041"/>
          <w:ilvl w:val="1"/>
        </w:numPr>
      </w:pPr>
      <w:r>
        <w:t xml:space="preserve">among segment movement</w:t>
      </w:r>
    </w:p>
    <w:p>
      <w:pPr>
        <w:pStyle w:val="Compact"/>
        <w:numPr>
          <w:numId w:val="1037"/>
          <w:ilvl w:val="0"/>
        </w:numPr>
      </w:pPr>
      <w:r>
        <w:t xml:space="preserve">Population structure and characteristics (segment level)</w:t>
      </w:r>
    </w:p>
    <w:p>
      <w:pPr>
        <w:pStyle w:val="Compact"/>
        <w:numPr>
          <w:numId w:val="1042"/>
          <w:ilvl w:val="1"/>
        </w:numPr>
      </w:pPr>
      <w:r>
        <w:t xml:space="preserve">Size structure</w:t>
      </w:r>
    </w:p>
    <w:p>
      <w:pPr>
        <w:pStyle w:val="Compact"/>
        <w:numPr>
          <w:numId w:val="1043"/>
          <w:ilvl w:val="2"/>
        </w:numPr>
      </w:pPr>
      <w:r>
        <w:t xml:space="preserve">bias</w:t>
      </w:r>
    </w:p>
    <w:p>
      <w:pPr>
        <w:pStyle w:val="Compact"/>
        <w:numPr>
          <w:numId w:val="1043"/>
          <w:ilvl w:val="2"/>
        </w:numPr>
      </w:pPr>
      <w:r>
        <w:t xml:space="preserve">precision</w:t>
      </w:r>
    </w:p>
    <w:p>
      <w:pPr>
        <w:pStyle w:val="Compact"/>
        <w:numPr>
          <w:numId w:val="1042"/>
          <w:ilvl w:val="1"/>
        </w:numPr>
      </w:pPr>
      <w:r>
        <w:t xml:space="preserve">Sex ratio (segment level)</w:t>
      </w:r>
    </w:p>
    <w:p>
      <w:pPr>
        <w:pStyle w:val="Compact"/>
        <w:numPr>
          <w:numId w:val="1044"/>
          <w:ilvl w:val="2"/>
        </w:numPr>
      </w:pPr>
      <w:r>
        <w:t xml:space="preserve">bias</w:t>
      </w:r>
    </w:p>
    <w:p>
      <w:pPr>
        <w:pStyle w:val="Compact"/>
        <w:numPr>
          <w:numId w:val="1044"/>
          <w:ilvl w:val="2"/>
        </w:numPr>
      </w:pPr>
      <w:r>
        <w:t xml:space="preserve">precision</w:t>
      </w:r>
    </w:p>
    <w:p>
      <w:pPr>
        <w:pStyle w:val="Heading3"/>
      </w:pPr>
      <w:bookmarkStart w:id="75" w:name="estimate-segment-level-abundance-origin-and-stage-specific"/>
      <w:bookmarkEnd w:id="75"/>
      <w:r>
        <w:t xml:space="preserve">3. Estimate segment-level abundance, origin and stage specific</w:t>
      </w:r>
    </w:p>
    <w:p>
      <w:pPr>
        <w:numPr>
          <w:numId w:val="1045"/>
          <w:ilvl w:val="0"/>
        </w:numPr>
      </w:pPr>
      <w:r>
        <w:t xml:space="preserve">bias</w:t>
      </w:r>
    </w:p>
    <w:p>
      <w:pPr>
        <w:numPr>
          <w:numId w:val="1045"/>
          <w:ilvl w:val="0"/>
        </w:numPr>
      </w:pPr>
      <w:r>
        <w:t xml:space="preserve">precision</w:t>
      </w:r>
    </w:p>
    <w:p>
      <w:pPr>
        <w:numPr>
          <w:numId w:val="1045"/>
          <w:ilvl w:val="0"/>
        </w:numPr>
      </w:pPr>
      <w:r>
        <w:t xml:space="preserve">spatial distribution</w:t>
      </w:r>
    </w:p>
    <w:p>
      <w:pPr>
        <w:pStyle w:val="Heading3"/>
      </w:pPr>
      <w:bookmarkStart w:id="76" w:name="valuing-the-fundamental-objective"/>
      <w:bookmarkEnd w:id="76"/>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conformance is constrained between 0 (worst)</w:t>
      </w:r>
      <w:r>
        <w:t xml:space="preserve"> </w:t>
      </w:r>
      <w:r>
        <w:t xml:space="preserve">and 100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values, and increasing values approach 0.</w:t>
      </w:r>
    </w:p>
    <w:p>
      <w:pPr>
        <w:pStyle w:val="BodyText"/>
      </w:pPr>
      <w:r>
        <w:t xml:space="preserve">Lastly, let's look at performance. Suppose performance values from</w:t>
      </w:r>
      <w:r>
        <w:t xml:space="preserve"> </w:t>
      </w:r>
      <w:r>
        <w:t xml:space="preserve">simulating multiple replicates of each monitoring design vary from 35%</w:t>
      </w:r>
      <w:r>
        <w:t xml:space="preserve"> </w:t>
      </w:r>
      <w:r>
        <w:t xml:space="preserve">to 100%. The difference between the performance metric with bias and</w:t>
      </w:r>
      <w:r>
        <w:t xml:space="preserve"> </w:t>
      </w:r>
      <w:r>
        <w:t xml:space="preserve">precision is that higher values are more desirable and therefore we need</w:t>
      </w:r>
      <w:r>
        <w:t xml:space="preserve"> </w:t>
      </w:r>
      <w:r>
        <w:t xml:space="preserve">to rearrange the proportional scaling equation to reflect this as,</w:t>
      </w:r>
    </w:p>
    <w:p>
      <w:pPr>
        <w:pStyle w:val="Heading3"/>
      </w:pPr>
      <w:bookmarkStart w:id="77" w:name="linking-monitoring-designs-and-objectives"/>
      <w:bookmarkEnd w:id="77"/>
      <w:r>
        <w:t xml:space="preserve">Linking monitoring designs and objectives</w:t>
      </w:r>
    </w:p>
    <w:p>
      <w:pPr>
        <w:pStyle w:val="FirstParagraph"/>
      </w:pPr>
      <w:r>
        <w:t xml:space="preserve">We can combine the utility values now such that monitoring designs</w:t>
      </w:r>
      <w:r>
        <w:t xml:space="preserve"> </w:t>
      </w:r>
      <w:r>
        <w:t xml:space="preserve">resulting in a trend estimate with low bias, good precision, and good</w:t>
      </w:r>
      <w:r>
        <w:t xml:space="preserve"> </w:t>
      </w:r>
      <w:r>
        <w:t xml:space="preserve">performance have higher values (i.e., approaching 1) and estimates of</w:t>
      </w:r>
      <w:r>
        <w:t xml:space="preserve"> </w:t>
      </w:r>
      <w:r>
        <w:t xml:space="preserve">the trend that is biased, imprecise with poor 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46"/>
          <w:ilvl w:val="0"/>
        </w:numPr>
      </w:pPr>
      <w:r>
        <w:t xml:space="preserve">Catch effort</w:t>
      </w:r>
    </w:p>
    <w:p>
      <w:pPr>
        <w:pStyle w:val="Compact"/>
        <w:numPr>
          <w:numId w:val="1047"/>
          <w:ilvl w:val="1"/>
        </w:numPr>
      </w:pPr>
      <w:r>
        <w:t xml:space="preserve">Proportional bias = -60, scaled = 0.8</w:t>
      </w:r>
    </w:p>
    <w:p>
      <w:pPr>
        <w:pStyle w:val="Compact"/>
        <w:numPr>
          <w:numId w:val="1047"/>
          <w:ilvl w:val="1"/>
        </w:numPr>
      </w:pPr>
      <w:r>
        <w:t xml:space="preserve">Precision = 112, scaled = 0.648</w:t>
      </w:r>
    </w:p>
    <w:p>
      <w:pPr>
        <w:pStyle w:val="Compact"/>
        <w:numPr>
          <w:numId w:val="1047"/>
          <w:ilvl w:val="1"/>
        </w:numPr>
      </w:pPr>
      <w:r>
        <w:t xml:space="preserve">Performance = 100, scaled = 1</w:t>
      </w:r>
    </w:p>
    <w:p>
      <w:pPr>
        <w:pStyle w:val="Compact"/>
        <w:numPr>
          <w:numId w:val="1046"/>
          <w:ilvl w:val="0"/>
        </w:numPr>
      </w:pPr>
      <w:r>
        <w:t xml:space="preserve">Capture recapture</w:t>
      </w:r>
    </w:p>
    <w:p>
      <w:pPr>
        <w:pStyle w:val="Compact"/>
        <w:numPr>
          <w:numId w:val="1048"/>
          <w:ilvl w:val="1"/>
        </w:numPr>
      </w:pPr>
      <w:r>
        <w:t xml:space="preserve">Proportional bias = 5, scaled = 0.983</w:t>
      </w:r>
    </w:p>
    <w:p>
      <w:pPr>
        <w:pStyle w:val="Compact"/>
        <w:numPr>
          <w:numId w:val="1048"/>
          <w:ilvl w:val="1"/>
        </w:numPr>
      </w:pPr>
      <w:r>
        <w:t xml:space="preserve">Precision = 115, scaled = 0.638</w:t>
      </w:r>
    </w:p>
    <w:p>
      <w:pPr>
        <w:pStyle w:val="Compact"/>
        <w:numPr>
          <w:numId w:val="1048"/>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Heading5"/>
      </w:pPr>
      <w:bookmarkStart w:id="78" w:name="page-break"/>
      <w:bookmarkEnd w:id="78"/>
      <w:r>
        <w:t xml:space="preserve">page break</w:t>
      </w:r>
    </w:p>
    <w:p>
      <w:pPr>
        <w:pStyle w:val="Heading1"/>
      </w:pPr>
      <w:bookmarkStart w:id="79" w:name="figures"/>
      <w:bookmarkEnd w:id="79"/>
      <w:r>
        <w:t xml:space="preserve">Figures</w:t>
      </w:r>
    </w:p>
    <w:p>
      <w:pPr>
        <w:pStyle w:val="FirstParagraph"/>
      </w:pPr>
      <w:r>
        <w:drawing>
          <wp:inline>
            <wp:extent cx="6629400" cy="4956028"/>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80"/>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81" w:name="page-break-1"/>
      <w:bookmarkEnd w:id="81"/>
      <w:r>
        <w:t xml:space="preserve">Page Break</w:t>
      </w:r>
    </w:p>
    <w:p>
      <w:pPr>
        <w:pStyle w:val="FirstParagraph"/>
      </w:pPr>
      <w:r>
        <w:drawing>
          <wp:inline>
            <wp:extent cx="6629400" cy="2803034"/>
            <wp:effectExtent b="0" l="0" r="0" t="0"/>
            <wp:docPr descr="" title="" id="1" name="Picture"/>
            <a:graphic>
              <a:graphicData uri="http://schemas.openxmlformats.org/drawingml/2006/picture">
                <pic:pic>
                  <pic:nvPicPr>
                    <pic:cNvPr descr="images/PopSim.jpg" id="0" name="Picture"/>
                    <pic:cNvPicPr>
                      <a:picLocks noChangeArrowheads="1" noChangeAspect="1"/>
                    </pic:cNvPicPr>
                  </pic:nvPicPr>
                  <pic:blipFill>
                    <a:blip r:embed="rId82"/>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83" w:name="page-break-2"/>
      <w:bookmarkEnd w:id="83"/>
      <w:r>
        <w:t xml:space="preserve">Page Break</w:t>
      </w:r>
    </w:p>
    <w:p>
      <w:pPr>
        <w:pStyle w:val="FirstParagraph"/>
      </w:pPr>
      <w:r>
        <w:drawing>
          <wp:inline>
            <wp:extent cx="6629400" cy="3585061"/>
            <wp:effectExtent b="0" l="0" r="0" t="0"/>
            <wp:docPr descr="" title="" id="1" name="Picture"/>
            <a:graphic>
              <a:graphicData uri="http://schemas.openxmlformats.org/drawingml/2006/picture">
                <pic:pic>
                  <pic:nvPicPr>
                    <pic:cNvPr descr="images/Movement.jpeg" id="0" name="Picture"/>
                    <pic:cNvPicPr>
                      <a:picLocks noChangeArrowheads="1" noChangeAspect="1"/>
                    </pic:cNvPicPr>
                  </pic:nvPicPr>
                  <pic:blipFill>
                    <a:blip r:embed="rId84"/>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85" w:name="page-break-3"/>
      <w:bookmarkEnd w:id="85"/>
      <w:r>
        <w:t xml:space="preserve">Page Break</w:t>
      </w:r>
    </w:p>
    <w:p>
      <w:pPr>
        <w:pStyle w:val="FirstParagraph"/>
      </w:pPr>
      <w:r>
        <w:drawing>
          <wp:inline>
            <wp:extent cx="4748784" cy="6412992"/>
            <wp:effectExtent b="0" l="0" r="0" t="0"/>
            <wp:docPr descr="" title="" id="1" name="Picture"/>
            <a:graphic>
              <a:graphicData uri="http://schemas.openxmlformats.org/drawingml/2006/picture">
                <pic:pic>
                  <pic:nvPicPr>
                    <pic:cNvPr descr="images/MonitoringDesign.jpg" id="0" name="Picture"/>
                    <pic:cNvPicPr>
                      <a:picLocks noChangeArrowheads="1" noChangeAspect="1"/>
                    </pic:cNvPicPr>
                  </pic:nvPicPr>
                  <pic:blipFill>
                    <a:blip r:embed="rId86"/>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87" w:name="page-break-4"/>
      <w:bookmarkEnd w:id="87"/>
      <w:r>
        <w:t xml:space="preserve">page break</w:t>
      </w:r>
    </w:p>
    <w:p>
      <w:pPr>
        <w:pStyle w:val="FirstParagraph"/>
      </w:pPr>
      <w:r>
        <w:drawing>
          <wp:inline>
            <wp:extent cx="6629400" cy="3588095"/>
            <wp:effectExtent b="0" l="0" r="0" t="0"/>
            <wp:docPr descr="" title="" id="1" name="Picture"/>
            <a:graphic>
              <a:graphicData uri="http://schemas.openxmlformats.org/drawingml/2006/picture">
                <pic:pic>
                  <pic:nvPicPr>
                    <pic:cNvPr descr="images/CatchSim.jpg" id="0" name="Picture"/>
                    <pic:cNvPicPr>
                      <a:picLocks noChangeArrowheads="1" noChangeAspect="1"/>
                    </pic:cNvPicPr>
                  </pic:nvPicPr>
                  <pic:blipFill>
                    <a:blip r:embed="rId88"/>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89" w:name="page-break-5"/>
      <w:bookmarkEnd w:id="89"/>
      <w:r>
        <w:t xml:space="preserve">page break</w:t>
      </w:r>
    </w:p>
    <w:p>
      <w:pPr>
        <w:pStyle w:val="FirstParagraph"/>
      </w:pPr>
      <w:r>
        <w:drawing>
          <wp:inline>
            <wp:extent cx="6629400" cy="3646170"/>
            <wp:effectExtent b="0" l="0" r="0" t="0"/>
            <wp:docPr descr="" title="" id="1" name="Picture"/>
            <a:graphic>
              <a:graphicData uri="http://schemas.openxmlformats.org/drawingml/2006/picture">
                <pic:pic>
                  <pic:nvPicPr>
                    <pic:cNvPr descr="images/EffortDistEx.jpeg" id="0" name="Picture"/>
                    <pic:cNvPicPr>
                      <a:picLocks noChangeArrowheads="1" noChangeAspect="1"/>
                    </pic:cNvPicPr>
                  </pic:nvPicPr>
                  <pic:blipFill>
                    <a:blip r:embed="rId90"/>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91" w:name="page-break-6"/>
      <w:bookmarkEnd w:id="91"/>
      <w:r>
        <w:t xml:space="preserve">page break</w:t>
      </w:r>
    </w:p>
    <w:p>
      <w:pPr>
        <w:pStyle w:val="FirstParagraph"/>
      </w:pP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5-1.png" id="0" name="Picture"/>
                    <pic:cNvPicPr>
                      <a:picLocks noChangeArrowheads="1" noChangeAspect="1"/>
                    </pic:cNvPicPr>
                  </pic:nvPicPr>
                  <pic:blipFill>
                    <a:blip r:embed="rId9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5-2.png" id="0" name="Picture"/>
                    <pic:cNvPicPr>
                      <a:picLocks noChangeArrowheads="1" noChangeAspect="1"/>
                    </pic:cNvPicPr>
                  </pic:nvPicPr>
                  <pic:blipFill>
                    <a:blip r:embed="rId9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5-3.png" id="0" name="Picture"/>
                    <pic:cNvPicPr>
                      <a:picLocks noChangeArrowheads="1" noChangeAspect="1"/>
                    </pic:cNvPicPr>
                  </pic:nvPicPr>
                  <pic:blipFill>
                    <a:blip r:embed="rId9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5-4.png" id="0" name="Picture"/>
                    <pic:cNvPicPr>
                      <a:picLocks noChangeArrowheads="1" noChangeAspect="1"/>
                    </pic:cNvPicPr>
                  </pic:nvPicPr>
                  <pic:blipFill>
                    <a:blip r:embed="rId9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5-5.png" id="0" name="Picture"/>
                    <pic:cNvPicPr>
                      <a:picLocks noChangeArrowheads="1" noChangeAspect="1"/>
                    </pic:cNvPicPr>
                  </pic:nvPicPr>
                  <pic:blipFill>
                    <a:blip r:embed="rId9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5-6.png" id="0" name="Picture"/>
                    <pic:cNvPicPr>
                      <a:picLocks noChangeArrowheads="1" noChangeAspect="1"/>
                    </pic:cNvPicPr>
                  </pic:nvPicPr>
                  <pic:blipFill>
                    <a:blip r:embed="rId9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5-7.png" id="0" name="Picture"/>
                    <pic:cNvPicPr>
                      <a:picLocks noChangeArrowheads="1" noChangeAspect="1"/>
                    </pic:cNvPicPr>
                  </pic:nvPicPr>
                  <pic:blipFill>
                    <a:blip r:embed="rId9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5-8.png" id="0" name="Picture"/>
                    <pic:cNvPicPr>
                      <a:picLocks noChangeArrowheads="1" noChangeAspect="1"/>
                    </pic:cNvPicPr>
                  </pic:nvPicPr>
                  <pic:blipFill>
                    <a:blip r:embed="rId99"/>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6-1.png" id="0" name="Picture"/>
                    <pic:cNvPicPr>
                      <a:picLocks noChangeArrowheads="1" noChangeAspect="1"/>
                    </pic:cNvPicPr>
                  </pic:nvPicPr>
                  <pic:blipFill>
                    <a:blip r:embed="rId100"/>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7-1.png" id="0" name="Picture"/>
                    <pic:cNvPicPr>
                      <a:picLocks noChangeArrowheads="1" noChangeAspect="1"/>
                    </pic:cNvPicPr>
                  </pic:nvPicPr>
                  <pic:blipFill>
                    <a:blip r:embed="rId101"/>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9.</w:t>
      </w:r>
    </w:p>
    <w:p>
      <w:pPr>
        <w:pStyle w:val="BodyText"/>
      </w:pPr>
      <w:r>
        <w:drawing>
          <wp:inline>
            <wp:extent cx="6006164" cy="6006164"/>
            <wp:effectExtent b="0" l="0" r="0" t="0"/>
            <wp:docPr descr="" title="" id="1" name="Picture"/>
            <a:graphic>
              <a:graphicData uri="http://schemas.openxmlformats.org/drawingml/2006/picture">
                <pic:pic>
                  <pic:nvPicPr>
                    <pic:cNvPr descr="201801280735-reboot-master-report_files/figure-docx/unnamed-chunk-18-1.png" id="0" name="Picture"/>
                    <pic:cNvPicPr>
                      <a:picLocks noChangeArrowheads="1" noChangeAspect="1"/>
                    </pic:cNvPicPr>
                  </pic:nvPicPr>
                  <pic:blipFill>
                    <a:blip r:embed="rId102"/>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10. In the plot above, values with lower performance values have lower</w:t>
      </w:r>
      <w:r>
        <w:t xml:space="preserve"> </w:t>
      </w:r>
      <w:r>
        <w:t xml:space="preserve">values and increasing values approach 1.</w:t>
      </w:r>
    </w:p>
    <w:p>
      <w:pPr>
        <w:pStyle w:val="BodyText"/>
      </w:pPr>
      <w:r>
        <w:t xml:space="preserve">Figure 10.</w:t>
      </w:r>
    </w:p>
    <w:p>
      <w:pPr>
        <w:pStyle w:val="BodyText"/>
      </w:pPr>
      <w:r>
        <w:t xml:space="preserve">Figure 8.</w:t>
      </w:r>
      <w:r>
        <w:t xml:space="preserve"> </w:t>
      </w:r>
      <w:r>
        <w:t xml:space="preserve"># Tables</w:t>
      </w:r>
    </w:p>
    <w:p>
      <w:pPr>
        <w:pStyle w:val="BodyText"/>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03" w:name="page-break-7"/>
      <w:bookmarkEnd w:id="103"/>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04" w:name="page-break-8"/>
      <w:bookmarkEnd w:id="104"/>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05" w:name="page-break-9"/>
      <w:bookmarkEnd w:id="105"/>
      <w:r>
        <w:t xml:space="preserve">page break</w:t>
      </w:r>
    </w:p>
    <w:p>
      <w:pPr>
        <w:pStyle w:val="FirstParagraph"/>
      </w:pPr>
      <w:r>
        <w:t xml:space="preserve">Table 4.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Heading1"/>
      </w:pPr>
      <w:bookmarkStart w:id="106" w:name="references"/>
      <w:bookmarkEnd w:id="106"/>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F3766B">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29">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50">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 w:id="6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61">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65">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Pr="005659D9" w:rsidRDefault="00F3766B" w:rsidP="005659D9">
    <w:pPr>
      <w:pStyle w:val="Header"/>
    </w:pPr>
    <w:r>
      <w:fldChar w:fldCharType="begin"/>
    </w:r>
    <w:r>
      <w:instrText xml:space="preserve"> CREATEDATE  \@ "M/d/yyyy h:mm am/pm"  \* MERGEFORMAT </w:instrText>
    </w:r>
    <w:r>
      <w:fldChar w:fldCharType="separate"/>
    </w:r>
    <w:r>
      <w:rPr>
        <w:noProof/>
      </w:rPr>
      <w:t>11/20/2017 3:38 PM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8c9149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6156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64f69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character" w:styleId="PlaceholderText">
    <w:name w:val="Placeholder Text"/>
    <w:basedOn w:val="DefaultParagraphFont"/>
    <w:uiPriority w:val="99"/>
    <w:semiHidden/>
    <w:rsid w:val="00F12104"/>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88" Target="media/rId88.jpg" /><Relationship Type="http://schemas.openxmlformats.org/officeDocument/2006/relationships/image" Id="rId90" Target="media/rId90.jpg" /><Relationship Type="http://schemas.openxmlformats.org/officeDocument/2006/relationships/image" Id="rId86" Target="media/rId86.jpg" /><Relationship Type="http://schemas.openxmlformats.org/officeDocument/2006/relationships/image" Id="rId84" Target="media/rId84.jpg" /><Relationship Type="http://schemas.openxmlformats.org/officeDocument/2006/relationships/image" Id="rId82" Target="media/rId82.jp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2018-01-28T13:35:34Z</dcterms:created>
  <dcterms:modified xsi:type="dcterms:W3CDTF">2018-01-28T13:35:34Z</dcterms:modified>
</cp:coreProperties>
</file>