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5.png" ContentType="image/png"/>
  <Override PartName="/word/media/rId86.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98.jpg" ContentType="image/jpeg"/>
  <Override PartName="/word/media/rId100.jpg" ContentType="image/jpeg"/>
  <Override PartName="/word/media/rId96.jpg" ContentType="image/jpeg"/>
  <Override PartName="/word/media/rId94.jpg" ContentType="image/jpeg"/>
  <Override PartName="/word/media/rId92.jpg" ContentType="image/jpe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02</w:t>
      </w:r>
      <w:r>
        <w:t xml:space="preserve"> </w:t>
      </w:r>
      <w:r>
        <w:t xml:space="preserve">February,</w:t>
      </w:r>
      <w:r>
        <w:t xml:space="preserve"> </w:t>
      </w:r>
      <w:r>
        <w:t xml:space="preserve">2018</w:t>
      </w:r>
    </w:p>
    <w:p>
      <w:pPr>
        <w:pStyle w:val="Heading1"/>
      </w:pPr>
      <w:bookmarkStart w:id="21" w:name="introduction"/>
      <w:bookmarkEnd w:id="21"/>
      <w:r>
        <w:t xml:space="preserve">Introduction</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w:t>
      </w:r>
      <w:r>
        <w:t xml:space="preserve"> </w:t>
      </w:r>
      <w:r>
        <w:t xml:space="preserve">monitoring strategy, but it is not considered sufficient for</w:t>
      </w:r>
      <w:r>
        <w:t xml:space="preserve"> </w:t>
      </w:r>
      <w:r>
        <w:t xml:space="preserve">monitoring needs. Instead, it is designed to complement three</w:t>
      </w:r>
      <w:r>
        <w:t xml:space="preserve"> </w:t>
      </w:r>
      <w:r>
        <w:t xml:space="preserve">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3" w:name="initiation-of-pspap-v.-2.0-design"/>
      <w:bookmarkEnd w:id="23"/>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 Management plan (hereafter AM plan) were achieved on an</w:t>
      </w:r>
      <w:r>
        <w:t xml:space="preserve"> </w:t>
      </w:r>
      <w:r>
        <w:t xml:space="preserve">annual basis or 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 both of which</w:t>
      </w:r>
      <w:r>
        <w:t xml:space="preserve"> </w:t>
      </w:r>
      <w:r>
        <w:t xml:space="preserve">are needed to achieve the fundamental objective set by the USFWS to</w:t>
      </w:r>
      <w:r>
        <w:t xml:space="preserve"> </w:t>
      </w:r>
      <w:r>
        <w:t xml:space="preserve">preclude species jeopardy.</w:t>
      </w:r>
    </w:p>
    <w:p>
      <w:pPr>
        <w:pStyle w:val="FirstParagraph"/>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quantify recruitment to age-1 and</w:t>
      </w:r>
    </w:p>
    <w:p>
      <w:pPr>
        <w:pStyle w:val="Compact"/>
        <w:numPr>
          <w:numId w:val="1005"/>
          <w:ilvl w:val="0"/>
        </w:numPr>
      </w:pPr>
      <w:r>
        <w:t xml:space="preserve">quantify pallid sturgeon population trend and abundance.</w:t>
      </w:r>
    </w:p>
    <w:p>
      <w:pPr>
        <w:pStyle w:val="Heading1"/>
      </w:pPr>
      <w:bookmarkStart w:id="24" w:name="pspap-objectives"/>
      <w:bookmarkEnd w:id="24"/>
      <w:r>
        <w:t xml:space="preserve">PSPAP objectives</w:t>
      </w:r>
    </w:p>
    <w:p>
      <w:pPr>
        <w:pStyle w:val="FirstParagraph"/>
      </w:pPr>
      <w:r>
        <w:t xml:space="preserve">The objective of the redesign effort is to identify sampling designs</w:t>
      </w:r>
      <w:r>
        <w:t xml:space="preserve"> </w:t>
      </w:r>
      <w:r>
        <w:t xml:space="preserve">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5" w:name="pspap-stakeholders-and-eliciting-monitoring-objectives"/>
      <w:bookmarkEnd w:id="25"/>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6"/>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7" w:name="translate-nodes-in-influence-diagram-to-quantifiable-metrics"/>
      <w:bookmarkEnd w:id="27"/>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8" w:name="simulate-the-likely-outcomes-for-a-node-conditional-on-influencing-nodes"/>
      <w:bookmarkEnd w:id="28"/>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9" w:name="simulate-a-reference-ps-population"/>
      <w:bookmarkEnd w:id="29"/>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30"/>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1" w:name="simulate-sampling-catch-data"/>
      <w:bookmarkEnd w:id="31"/>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2" w:name="estimate-metrics-from-the-catch-data"/>
      <w:bookmarkEnd w:id="32"/>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3" w:name="compare-the-estimates-to-the-true-values"/>
      <w:bookmarkEnd w:id="33"/>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4" w:name="additional-considerations-and-summary"/>
      <w:bookmarkEnd w:id="34"/>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5" w:name="methods"/>
      <w:bookmarkEnd w:id="35"/>
      <w:r>
        <w:t xml:space="preserve">Methods</w:t>
      </w:r>
    </w:p>
    <w:p>
      <w:pPr>
        <w:pStyle w:val="Heading2"/>
      </w:pPr>
      <w:bookmarkStart w:id="36" w:name="overview"/>
      <w:bookmarkEnd w:id="36"/>
      <w:r>
        <w:t xml:space="preserve">Overview</w:t>
      </w:r>
    </w:p>
    <w:p>
      <w:pPr>
        <w:pStyle w:val="Compact"/>
        <w:numPr>
          <w:numId w:val="1006"/>
          <w:ilvl w:val="0"/>
        </w:numPr>
      </w:pPr>
      <w:r>
        <w:t xml:space="preserve">Trigger</w:t>
      </w:r>
    </w:p>
    <w:p>
      <w:pPr>
        <w:pStyle w:val="Compact"/>
        <w:numPr>
          <w:numId w:val="1006"/>
          <w:ilvl w:val="0"/>
        </w:numPr>
      </w:pPr>
      <w:r>
        <w:t xml:space="preserve">Problem</w:t>
      </w:r>
    </w:p>
    <w:p>
      <w:pPr>
        <w:pStyle w:val="Compact"/>
        <w:numPr>
          <w:numId w:val="1006"/>
          <w:ilvl w:val="0"/>
        </w:numPr>
      </w:pPr>
      <w:r>
        <w:t xml:space="preserve">Stakeholder identification</w:t>
      </w:r>
    </w:p>
    <w:p>
      <w:pPr>
        <w:pStyle w:val="Compact"/>
        <w:numPr>
          <w:numId w:val="1006"/>
          <w:ilvl w:val="0"/>
        </w:numPr>
      </w:pPr>
      <w:r>
        <w:t xml:space="preserve">Objectives elicitation and structuring</w:t>
      </w:r>
    </w:p>
    <w:p>
      <w:pPr>
        <w:pStyle w:val="Compact"/>
        <w:numPr>
          <w:numId w:val="1006"/>
          <w:ilvl w:val="0"/>
        </w:numPr>
      </w:pPr>
      <w:r>
        <w:t xml:space="preserve">Decision model development</w:t>
      </w:r>
    </w:p>
    <w:p>
      <w:pPr>
        <w:pStyle w:val="Compact"/>
        <w:numPr>
          <w:numId w:val="1006"/>
          <w:ilvl w:val="0"/>
        </w:numPr>
      </w:pPr>
      <w:r>
        <w:t xml:space="preserve">Parameterization</w:t>
      </w:r>
    </w:p>
    <w:p>
      <w:pPr>
        <w:pStyle w:val="Compact"/>
        <w:numPr>
          <w:numId w:val="1006"/>
          <w:ilvl w:val="0"/>
        </w:numPr>
      </w:pPr>
      <w:r>
        <w:t xml:space="preserve">Ancillary objectives</w:t>
      </w:r>
    </w:p>
    <w:p>
      <w:pPr>
        <w:pStyle w:val="Compact"/>
        <w:numPr>
          <w:numId w:val="1007"/>
          <w:ilvl w:val="1"/>
        </w:numPr>
      </w:pPr>
      <w:r>
        <w:t xml:space="preserve">Identification</w:t>
      </w:r>
    </w:p>
    <w:p>
      <w:pPr>
        <w:pStyle w:val="Compact"/>
        <w:numPr>
          <w:numId w:val="1007"/>
          <w:ilvl w:val="1"/>
        </w:numPr>
      </w:pPr>
      <w:r>
        <w:t xml:space="preserve">Valuation</w:t>
      </w:r>
    </w:p>
    <w:p>
      <w:pPr>
        <w:pStyle w:val="Compact"/>
        <w:numPr>
          <w:numId w:val="1007"/>
          <w:ilvl w:val="1"/>
        </w:numPr>
      </w:pPr>
      <w:r>
        <w:t xml:space="preserve">Optimization</w:t>
      </w:r>
    </w:p>
    <w:p>
      <w:pPr>
        <w:pStyle w:val="Heading2"/>
      </w:pPr>
      <w:bookmarkStart w:id="37" w:name="eliciting-stakeholder-objectives"/>
      <w:bookmarkEnd w:id="37"/>
      <w:r>
        <w:t xml:space="preserve">Eliciting stakeholder objectives</w:t>
      </w:r>
    </w:p>
    <w:p>
      <w:pPr>
        <w:pStyle w:val="Heading3"/>
      </w:pPr>
      <w:bookmarkStart w:id="38" w:name="objectives-hierarchy-and-attributes"/>
      <w:bookmarkEnd w:id="38"/>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8"/>
          <w:ilvl w:val="0"/>
        </w:numPr>
      </w:pPr>
      <w:r>
        <w:rPr>
          <w:b/>
        </w:rPr>
        <w:t xml:space="preserve">Quantify PS recruitment to age-1 (Natural origin)</w:t>
      </w:r>
    </w:p>
    <w:p>
      <w:pPr>
        <w:pStyle w:val="Compact"/>
        <w:numPr>
          <w:numId w:val="1009"/>
          <w:ilvl w:val="1"/>
        </w:numPr>
      </w:pPr>
      <w:r>
        <w:t xml:space="preserve">Power to detect age-1 natural origin recruits if recruitment occurs</w:t>
      </w:r>
    </w:p>
    <w:p>
      <w:pPr>
        <w:pStyle w:val="Compact"/>
        <w:numPr>
          <w:numId w:val="1009"/>
          <w:ilvl w:val="1"/>
        </w:numPr>
      </w:pPr>
      <w:r>
        <w:t xml:space="preserve">Segment level age-1 abundance</w:t>
      </w:r>
      <w:r>
        <w:t xml:space="preserve"> </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09"/>
          <w:ilvl w:val="1"/>
        </w:numPr>
      </w:pPr>
      <w:r>
        <w:t xml:space="preserve">Estimate age-1 recruitment rate (natural origin)</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8"/>
          <w:ilvl w:val="0"/>
        </w:numPr>
      </w:pPr>
      <w:r>
        <w:rPr>
          <w:b/>
        </w:rPr>
        <w:t xml:space="preserve">Quantify PS population trend (natural and hatchery origin)</w:t>
      </w:r>
    </w:p>
    <w:p>
      <w:pPr>
        <w:pStyle w:val="Compact"/>
        <w:numPr>
          <w:numId w:val="1012"/>
          <w:ilvl w:val="1"/>
        </w:numPr>
      </w:pPr>
      <w:r>
        <w:t xml:space="preserve">Estimate RPMA level population growth rate</w:t>
      </w:r>
      <w:r>
        <w:t xml:space="preserve"> </w:t>
      </w:r>
      <m:oMath>
        <m:r>
          <m:t>λ</m:t>
        </m:r>
      </m:oMath>
      <w:r>
        <w:t xml:space="preserve"> </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08"/>
          <w:ilvl w:val="0"/>
        </w:numPr>
      </w:pPr>
      <w:r>
        <w:rPr>
          <w:b/>
        </w:rPr>
        <w:t xml:space="preserve">Provide relevant PS model inputs</w:t>
      </w:r>
    </w:p>
    <w:p>
      <w:pPr>
        <w:pStyle w:val="Compact"/>
        <w:numPr>
          <w:numId w:val="1014"/>
          <w:ilvl w:val="1"/>
        </w:numPr>
      </w:pPr>
      <w:r>
        <w:t xml:space="preserve">Estimate segment-level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spatial distribution</w:t>
      </w:r>
    </w:p>
    <w:p>
      <w:pPr>
        <w:pStyle w:val="Compact"/>
        <w:numPr>
          <w:numId w:val="1014"/>
          <w:ilvl w:val="1"/>
        </w:numPr>
      </w:pPr>
      <w:r>
        <w:t xml:space="preserve">Survival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4"/>
          <w:ilvl w:val="1"/>
        </w:numPr>
      </w:pPr>
      <w:r>
        <w:t xml:space="preserve">Fecundity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4"/>
          <w:ilvl w:val="1"/>
        </w:numPr>
      </w:pPr>
      <w:r>
        <w:t xml:space="preserve">Growth (RPMA)</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4"/>
          <w:ilvl w:val="1"/>
        </w:numPr>
      </w:pPr>
      <w:r>
        <w:t xml:space="preserve">Movement</w:t>
      </w:r>
    </w:p>
    <w:p>
      <w:pPr>
        <w:pStyle w:val="Compact"/>
        <w:numPr>
          <w:numId w:val="1019"/>
          <w:ilvl w:val="2"/>
        </w:numPr>
      </w:pPr>
      <w:r>
        <w:t xml:space="preserve">fidelity</w:t>
      </w:r>
    </w:p>
    <w:p>
      <w:pPr>
        <w:pStyle w:val="Compact"/>
        <w:numPr>
          <w:numId w:val="1019"/>
          <w:ilvl w:val="2"/>
        </w:numPr>
      </w:pPr>
      <w:r>
        <w:t xml:space="preserve">among segment movement</w:t>
      </w:r>
    </w:p>
    <w:p>
      <w:pPr>
        <w:pStyle w:val="Compact"/>
        <w:numPr>
          <w:numId w:val="1014"/>
          <w:ilvl w:val="1"/>
        </w:numPr>
      </w:pPr>
      <w:r>
        <w:t xml:space="preserve">Population structure and characteristics (segment level)</w:t>
      </w:r>
    </w:p>
    <w:p>
      <w:pPr>
        <w:pStyle w:val="Compact"/>
        <w:numPr>
          <w:numId w:val="1020"/>
          <w:ilvl w:val="2"/>
        </w:numPr>
      </w:pPr>
      <w:r>
        <w:t xml:space="preserve">Size structure</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14"/>
          <w:ilvl w:val="1"/>
        </w:numPr>
      </w:pPr>
      <w:r>
        <w:t xml:space="preserve">Sex ratio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08"/>
          <w:ilvl w:val="0"/>
        </w:numPr>
      </w:pPr>
      <w:r>
        <w:rPr>
          <w:b/>
        </w:rPr>
        <w:t xml:space="preserve">Maintain compatibility with legacy PSPAP data</w:t>
      </w:r>
      <w:r>
        <w:t xml:space="preserve"> </w:t>
      </w:r>
    </w:p>
    <w:p>
      <w:pPr>
        <w:pStyle w:val="Compact"/>
        <w:numPr>
          <w:numId w:val="1023"/>
          <w:ilvl w:val="1"/>
        </w:numPr>
      </w:pPr>
      <w:r>
        <w:t xml:space="preserve">Proportion of randomly selected bends within segment</w:t>
      </w:r>
    </w:p>
    <w:p>
      <w:pPr>
        <w:pStyle w:val="Compact"/>
        <w:numPr>
          <w:numId w:val="1023"/>
          <w:ilvl w:val="1"/>
        </w:numPr>
      </w:pPr>
      <w:r>
        <w:t xml:space="preserve">Gears similarity: proportion of standard gears used by design</w:t>
      </w:r>
    </w:p>
    <w:p>
      <w:pPr>
        <w:pStyle w:val="Compact"/>
        <w:numPr>
          <w:numId w:val="1023"/>
          <w:ilvl w:val="1"/>
        </w:numPr>
      </w:pPr>
      <w:r>
        <w:t xml:space="preserve">Effort similarity: deviation from average effort</w:t>
      </w:r>
    </w:p>
    <w:p>
      <w:pPr>
        <w:pStyle w:val="Compact"/>
        <w:numPr>
          <w:numId w:val="1008"/>
          <w:ilvl w:val="0"/>
        </w:numPr>
      </w:pPr>
      <w:r>
        <w:rPr>
          <w:b/>
        </w:rPr>
        <w:t xml:space="preserve">Stay below cost constraints</w:t>
      </w:r>
    </w:p>
    <w:p>
      <w:pPr>
        <w:pStyle w:val="Compact"/>
        <w:numPr>
          <w:numId w:val="1024"/>
          <w:ilvl w:val="1"/>
        </w:numPr>
      </w:pPr>
      <w:r>
        <w:t xml:space="preserve">Minimize costs</w:t>
      </w:r>
    </w:p>
    <w:p>
      <w:pPr>
        <w:pStyle w:val="Heading1"/>
      </w:pPr>
      <w:bookmarkStart w:id="39" w:name="overview-1"/>
      <w:bookmarkEnd w:id="39"/>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0" w:name="objectives"/>
      <w:bookmarkEnd w:id="40"/>
      <w:r>
        <w:t xml:space="preserve">Objectives</w:t>
      </w:r>
    </w:p>
    <w:p>
      <w:pPr>
        <w:pStyle w:val="FirstParagraph"/>
      </w:pPr>
      <w:r>
        <w:t xml:space="preserve">The objectives of this analysis were to:</w:t>
      </w:r>
    </w:p>
    <w:p>
      <w:pPr>
        <w:pStyle w:val="Compact"/>
        <w:numPr>
          <w:numId w:val="1025"/>
          <w:ilvl w:val="0"/>
        </w:numPr>
      </w:pPr>
      <w:r>
        <w:t xml:space="preserve">Create a set of spatially explicit pallid sturgeon population with</w:t>
      </w:r>
      <w:r>
        <w:t xml:space="preserve"> </w:t>
      </w:r>
      <w:r>
        <w:t xml:space="preserve">known bend-level annual abundances,</w:t>
      </w:r>
    </w:p>
    <w:p>
      <w:pPr>
        <w:pStyle w:val="Compact"/>
        <w:numPr>
          <w:numId w:val="1025"/>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5"/>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1" w:name="major-assumptions"/>
      <w:bookmarkEnd w:id="41"/>
      <w:r>
        <w:t xml:space="preserve">Major Assumptions</w:t>
      </w:r>
    </w:p>
    <w:p>
      <w:pPr>
        <w:pStyle w:val="Compact"/>
        <w:numPr>
          <w:numId w:val="1026"/>
          <w:ilvl w:val="0"/>
        </w:numPr>
      </w:pPr>
      <w:r>
        <w:t xml:space="preserve">Survival probability is homogeneous among all individuals and</w:t>
      </w:r>
      <w:r>
        <w:t xml:space="preserve"> </w:t>
      </w:r>
      <w:r>
        <w:t xml:space="preserve">independent of space and time.</w:t>
      </w:r>
    </w:p>
    <w:p>
      <w:pPr>
        <w:pStyle w:val="Compact"/>
        <w:numPr>
          <w:numId w:val="1026"/>
          <w:ilvl w:val="0"/>
        </w:numPr>
      </w:pPr>
      <w:r>
        <w:t xml:space="preserve">Individual fish growth follows a von Bertalanffy growth equation.</w:t>
      </w:r>
    </w:p>
    <w:p>
      <w:pPr>
        <w:pStyle w:val="Compact"/>
        <w:numPr>
          <w:numId w:val="1026"/>
          <w:ilvl w:val="0"/>
        </w:numPr>
      </w:pPr>
      <w:r>
        <w:t xml:space="preserve">There is no movement within years.</w:t>
      </w:r>
    </w:p>
    <w:p>
      <w:pPr>
        <w:pStyle w:val="Compact"/>
        <w:numPr>
          <w:numId w:val="1026"/>
          <w:ilvl w:val="0"/>
        </w:numPr>
      </w:pPr>
      <w:r>
        <w:t xml:space="preserve">Movement within a basin can occur between years.</w:t>
      </w:r>
    </w:p>
    <w:p>
      <w:pPr>
        <w:pStyle w:val="Compact"/>
        <w:numPr>
          <w:numId w:val="1026"/>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2" w:name="methods-1"/>
      <w:bookmarkEnd w:id="42"/>
      <w:r>
        <w:t xml:space="preserve">Methods</w:t>
      </w:r>
    </w:p>
    <w:p>
      <w:pPr>
        <w:pStyle w:val="Heading3"/>
      </w:pPr>
      <w:bookmarkStart w:id="43" w:name="spatial-extent-and-grain"/>
      <w:bookmarkEnd w:id="4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4" w:name="population-initialization"/>
      <w:bookmarkEnd w:id="4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5" w:name="bend-abundance"/>
      <w:bookmarkEnd w:id="4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7"/>
          <w:ilvl w:val="0"/>
        </w:numPr>
      </w:pPr>
      <m:oMath>
        <m:r>
          <m:t>N</m:t>
        </m:r>
      </m:oMath>
      <w:r>
        <w:t xml:space="preserve"> </w:t>
      </w:r>
      <w:r>
        <w:t xml:space="preserve">is the number of pallid sturgeon within each bend,</w:t>
      </w:r>
    </w:p>
    <w:p>
      <w:pPr>
        <w:pStyle w:val="Compact"/>
        <w:numPr>
          <w:numId w:val="1027"/>
          <w:ilvl w:val="0"/>
        </w:numPr>
      </w:pPr>
      <m:oMath>
        <m:r>
          <m:t>λ</m:t>
        </m:r>
      </m:oMath>
      <w:r>
        <w:t xml:space="preserve"> </w:t>
      </w:r>
      <w:r>
        <w:t xml:space="preserve">is the segment and origin specific density in fish per RKM,</w:t>
      </w:r>
    </w:p>
    <w:p>
      <w:pPr>
        <w:pStyle w:val="Compact"/>
        <w:numPr>
          <w:numId w:val="1027"/>
          <w:ilvl w:val="0"/>
        </w:numPr>
      </w:pPr>
      <m:oMath>
        <m:r>
          <m:t>l</m:t>
        </m:r>
      </m:oMath>
      <w:r>
        <w:t xml:space="preserve"> </w:t>
      </w:r>
      <w:r>
        <w:t xml:space="preserve">is bend length in RKM,</w:t>
      </w:r>
    </w:p>
    <w:p>
      <w:pPr>
        <w:pStyle w:val="Compact"/>
        <w:numPr>
          <w:numId w:val="1027"/>
          <w:ilvl w:val="0"/>
        </w:numPr>
      </w:pPr>
      <m:oMath>
        <m:r>
          <m:t>s</m:t>
        </m:r>
        <m:r>
          <m:t>e</m:t>
        </m:r>
        <m:r>
          <m:t>g</m:t>
        </m:r>
        <m:r>
          <m:t>m</m:t>
        </m:r>
        <m:r>
          <m:t>e</m:t>
        </m:r>
        <m:r>
          <m:t>n</m:t>
        </m:r>
        <m:r>
          <m:t>t</m:t>
        </m:r>
      </m:oMath>
      <w:r>
        <w:t xml:space="preserve"> </w:t>
      </w:r>
      <w:r>
        <w:t xml:space="preserve">indexes segment within universe,</w:t>
      </w:r>
    </w:p>
    <w:p>
      <w:pPr>
        <w:pStyle w:val="Compact"/>
        <w:numPr>
          <w:numId w:val="1027"/>
          <w:ilvl w:val="0"/>
        </w:numPr>
      </w:pPr>
      <m:oMath>
        <m:r>
          <m:t>b</m:t>
        </m:r>
        <m:r>
          <m:t>e</m:t>
        </m:r>
        <m:r>
          <m:t>n</m:t>
        </m:r>
        <m:r>
          <m:t>d</m:t>
        </m:r>
      </m:oMath>
      <w:r>
        <w:t xml:space="preserve"> </w:t>
      </w:r>
      <w:r>
        <w:t xml:space="preserve">indexes bend within segment, and</w:t>
      </w:r>
    </w:p>
    <w:p>
      <w:pPr>
        <w:pStyle w:val="Compact"/>
        <w:numPr>
          <w:numId w:val="1027"/>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8"/>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8"/>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8"/>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6" w:name="assigning-length-and-growth-parameters-to-individuals"/>
      <w:bookmarkEnd w:id="4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7" w:name="simulating-annual-transitions"/>
      <w:bookmarkEnd w:id="4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8" w:name="survival-growth"/>
      <w:bookmarkEnd w:id="4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9" w:name="movement"/>
      <w:bookmarkEnd w:id="4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1" w:name="recruitment"/>
      <w:bookmarkEnd w:id="5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1"/>
      </w:pPr>
      <w:bookmarkStart w:id="52" w:name="overview-2"/>
      <w:bookmarkEnd w:id="52"/>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53" w:name="objectives-1"/>
      <w:bookmarkEnd w:id="53"/>
      <w:r>
        <w:t xml:space="preserve">Objectives</w:t>
      </w:r>
    </w:p>
    <w:p>
      <w:pPr>
        <w:pStyle w:val="FirstParagraph"/>
      </w:pPr>
      <w:r>
        <w:t xml:space="preserve">The objectives of this analysis were to:</w:t>
      </w:r>
    </w:p>
    <w:p>
      <w:pPr>
        <w:pStyle w:val="Compact"/>
        <w:numPr>
          <w:numId w:val="1029"/>
          <w:ilvl w:val="0"/>
        </w:numPr>
      </w:pPr>
      <w:r>
        <w:t xml:space="preserve">Simulate 10 years of bend sampling data (i.e. which bends are sampled</w:t>
      </w:r>
      <w:r>
        <w:t xml:space="preserve"> </w:t>
      </w:r>
      <w:r>
        <w:t xml:space="preserve">during which years) for various monitoring designs,</w:t>
      </w:r>
    </w:p>
    <w:p>
      <w:pPr>
        <w:pStyle w:val="Compact"/>
        <w:numPr>
          <w:numId w:val="1029"/>
          <w:ilvl w:val="0"/>
        </w:numPr>
      </w:pPr>
      <w:r>
        <w:t xml:space="preserve">Simulate 10 years of catch data for various sampling strategies using</w:t>
      </w:r>
      <w:r>
        <w:t xml:space="preserve"> </w:t>
      </w:r>
      <w:r>
        <w:t xml:space="preserve">bends as the spatial scale,</w:t>
      </w:r>
    </w:p>
    <w:p>
      <w:pPr>
        <w:pStyle w:val="Compact"/>
        <w:numPr>
          <w:numId w:val="1029"/>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9"/>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9"/>
          <w:ilvl w:val="0"/>
        </w:numPr>
      </w:pPr>
      <w:r>
        <w:t xml:space="preserve">Simulate several catch data tables per combination of reference</w:t>
      </w:r>
      <w:r>
        <w:t xml:space="preserve"> </w:t>
      </w:r>
      <w:r>
        <w:t xml:space="preserve">population and monitoring design.</w:t>
      </w:r>
    </w:p>
    <w:p>
      <w:pPr>
        <w:pStyle w:val="Heading3"/>
      </w:pPr>
      <w:bookmarkStart w:id="54" w:name="major-assumptions-1"/>
      <w:bookmarkEnd w:id="54"/>
      <w:r>
        <w:t xml:space="preserve">Major Assumptions</w:t>
      </w:r>
    </w:p>
    <w:p>
      <w:pPr>
        <w:pStyle w:val="Compact"/>
        <w:numPr>
          <w:numId w:val="1030"/>
          <w:ilvl w:val="0"/>
        </w:numPr>
      </w:pPr>
      <w:r>
        <w:t xml:space="preserve">All fish can be uniquely identified.</w:t>
      </w:r>
      <w:r>
        <w:br w:type="textWrapping"/>
      </w:r>
    </w:p>
    <w:p>
      <w:pPr>
        <w:pStyle w:val="Compact"/>
        <w:numPr>
          <w:numId w:val="1030"/>
          <w:ilvl w:val="0"/>
        </w:numPr>
      </w:pPr>
      <w:r>
        <w:t xml:space="preserve">Fish ids are not lost or overlooked.</w:t>
      </w:r>
    </w:p>
    <w:p>
      <w:pPr>
        <w:pStyle w:val="Compact"/>
        <w:numPr>
          <w:numId w:val="1030"/>
          <w:ilvl w:val="0"/>
        </w:numPr>
      </w:pPr>
      <w:r>
        <w:t xml:space="preserve">The sampling protocol is followed without exception.</w:t>
      </w:r>
    </w:p>
    <w:p>
      <w:pPr>
        <w:pStyle w:val="Compact"/>
        <w:numPr>
          <w:numId w:val="1030"/>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0"/>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55" w:name="methods-2"/>
      <w:bookmarkEnd w:id="55"/>
      <w:r>
        <w:t xml:space="preserve">Methods</w:t>
      </w:r>
    </w:p>
    <w:p>
      <w:pPr>
        <w:pStyle w:val="Heading3"/>
      </w:pPr>
      <w:bookmarkStart w:id="56" w:name="monitoring-designs"/>
      <w:bookmarkEnd w:id="5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31"/>
          <w:ilvl w:val="0"/>
        </w:numPr>
      </w:pPr>
      <w:r>
        <w:t xml:space="preserve">For each year, select which bends to sample.</w:t>
      </w:r>
    </w:p>
    <w:p>
      <w:pPr>
        <w:pStyle w:val="Compact"/>
        <w:numPr>
          <w:numId w:val="1031"/>
          <w:ilvl w:val="0"/>
        </w:numPr>
      </w:pPr>
      <w:r>
        <w:t xml:space="preserve">For each occasion, select which individual fish (of those located in</w:t>
      </w:r>
      <w:r>
        <w:t xml:space="preserve"> </w:t>
      </w:r>
      <w:r>
        <w:t xml:space="preserve">the sampled bends) are caught.</w:t>
      </w:r>
    </w:p>
    <w:p>
      <w:pPr>
        <w:pStyle w:val="Heading3"/>
      </w:pPr>
      <w:bookmarkStart w:id="57" w:name="bend-selection"/>
      <w:bookmarkEnd w:id="57"/>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58" w:name="individual-captures"/>
      <w:bookmarkEnd w:id="58"/>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59" w:name="effort-distributions"/>
      <w:bookmarkEnd w:id="59"/>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0"/>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61"/>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62" w:name="catchability-distributions"/>
      <w:bookmarkEnd w:id="62"/>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63" w:name="gear-selection-and-size-selectivity"/>
      <w:bookmarkEnd w:id="63"/>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64" w:name="individual-measurements"/>
      <w:bookmarkEnd w:id="64"/>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5"/>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1"/>
      </w:pPr>
      <w:bookmarkStart w:id="66" w:name="overview-3"/>
      <w:bookmarkEnd w:id="66"/>
      <w:r>
        <w:t xml:space="preserve">Overview</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population abundance and trend are key</w:t>
      </w:r>
      <w:r>
        <w:t xml:space="preserve"> </w:t>
      </w:r>
      <w:r>
        <w:t xml:space="preserve">to assessing both AMP pallid sturgeon sub-objectives. Moreover, the</w:t>
      </w:r>
      <w:r>
        <w:t xml:space="preserve"> </w:t>
      </w:r>
      <w:r>
        <w:t xml:space="preserve">objective of the PSPAP redesign effort is to identify monitoring designs</w:t>
      </w:r>
      <w:r>
        <w:t xml:space="preserve"> </w:t>
      </w:r>
      <w:r>
        <w:t xml:space="preserve">(sampling designs and abundance and trend estimators) that will give</w:t>
      </w:r>
      <w:r>
        <w:t xml:space="preserve"> </w:t>
      </w:r>
      <w:r>
        <w:t xml:space="preserve">optimal estimates given budget constraints. Therefore, both the</w:t>
      </w:r>
      <w:r>
        <w:t xml:space="preserve"> </w:t>
      </w:r>
      <w:r>
        <w:t xml:space="preserve">generation and the assessment of abundance and trend estimates play a</w:t>
      </w:r>
      <w:r>
        <w:t xml:space="preserve"> </w:t>
      </w:r>
      <w:r>
        <w:t xml:space="preserve">key role in this analysis. Here we focus on the generation of the</w:t>
      </w:r>
      <w:r>
        <w:t xml:space="preserve"> </w:t>
      </w:r>
      <w:r>
        <w:t xml:space="preserve">abundance and trend estimates, i.e. the metrics for assessing the AM</w:t>
      </w:r>
      <w:r>
        <w:t xml:space="preserve"> </w:t>
      </w:r>
      <w:r>
        <w:t xml:space="preserve">sub-objectives, leaving the assessment of these estimates to the</w:t>
      </w:r>
      <w:r>
        <w:t xml:space="preserve"> </w:t>
      </w:r>
      <w:r>
        <w:t xml:space="preserve">following section.</w:t>
      </w:r>
    </w:p>
    <w:p>
      <w:pPr>
        <w:pStyle w:val="Heading3"/>
      </w:pPr>
      <w:bookmarkStart w:id="67" w:name="objectives-2"/>
      <w:bookmarkEnd w:id="67"/>
      <w:r>
        <w:t xml:space="preserve">Objectives</w:t>
      </w:r>
    </w:p>
    <w:p>
      <w:pPr>
        <w:pStyle w:val="FirstParagraph"/>
      </w:pPr>
      <w:r>
        <w:t xml:space="preserve">The objectives of this analysis were to:</w:t>
      </w:r>
    </w:p>
    <w:p>
      <w:pPr>
        <w:pStyle w:val="Compact"/>
        <w:numPr>
          <w:numId w:val="1032"/>
          <w:ilvl w:val="0"/>
        </w:numPr>
      </w:pPr>
      <w:r>
        <w:t xml:space="preserve">Apply various abundance estimators to each of the simulated catch</w:t>
      </w:r>
      <w:r>
        <w:t xml:space="preserve"> </w:t>
      </w:r>
      <w:r>
        <w:t xml:space="preserve">data (that were generated from several different sampling strategies) to</w:t>
      </w:r>
      <w:r>
        <w:t xml:space="preserve"> </w:t>
      </w:r>
      <w:r>
        <w:t xml:space="preserve">produce abundance estimates at the bend level.</w:t>
      </w:r>
    </w:p>
    <w:p>
      <w:pPr>
        <w:pStyle w:val="Compact"/>
        <w:numPr>
          <w:numId w:val="1032"/>
          <w:ilvl w:val="0"/>
        </w:numPr>
      </w:pPr>
      <w:r>
        <w:t xml:space="preserve">Use various trend estimators to generate a measure of the population</w:t>
      </w:r>
      <w:r>
        <w:t xml:space="preserve"> </w:t>
      </w:r>
      <w:r>
        <w:t xml:space="preserve">trend over a 10-year period by basin.</w:t>
      </w:r>
    </w:p>
    <w:p>
      <w:pPr>
        <w:pStyle w:val="Compact"/>
        <w:numPr>
          <w:numId w:val="1032"/>
          <w:ilvl w:val="0"/>
        </w:numPr>
      </w:pPr>
      <w:r>
        <w:t xml:space="preserve">Use length data and various abundance estimators to generate</w:t>
      </w:r>
      <w:r>
        <w:t xml:space="preserve"> </w:t>
      </w:r>
      <w:r>
        <w:t xml:space="preserve">population estimates for each length class.</w:t>
      </w:r>
    </w:p>
    <w:p>
      <w:pPr>
        <w:pStyle w:val="Heading3"/>
      </w:pPr>
      <w:bookmarkStart w:id="68" w:name="major-assumptions-2"/>
      <w:bookmarkEnd w:id="68"/>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produce the reference populations (SECTION) and</w:t>
      </w:r>
      <w:r>
        <w:t xml:space="preserve"> </w:t>
      </w:r>
      <w:r>
        <w:t xml:space="preserve">simulated catch data (SECTION). Any major assumptions additional to</w:t>
      </w:r>
      <w:r>
        <w:t xml:space="preserve"> </w:t>
      </w:r>
      <w:r>
        <w:t xml:space="preserve">those previously discussed are included in the Methods Section</w:t>
      </w:r>
      <w:r>
        <w:t xml:space="preserve"> </w:t>
      </w:r>
      <w:r>
        <w:t xml:space="preserve">discussion of the particular estimator to which it applies.</w:t>
      </w:r>
    </w:p>
    <w:p>
      <w:pPr>
        <w:pStyle w:val="Heading1"/>
      </w:pPr>
      <w:bookmarkStart w:id="69" w:name="methods-3"/>
      <w:bookmarkEnd w:id="69"/>
      <w:r>
        <w:t xml:space="preserve">Methods</w:t>
      </w:r>
    </w:p>
    <w:p>
      <w:pPr>
        <w:pStyle w:val="Heading3"/>
      </w:pPr>
      <w:bookmarkStart w:id="70" w:name="scope-and-spatial-scale"/>
      <w:bookmarkEnd w:id="70"/>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The methods and scale varies based on the particular abundance</w:t>
      </w:r>
      <w:r>
        <w:t xml:space="preserve"> </w:t>
      </w:r>
      <w:r>
        <w:t xml:space="preserve">estimator, each of which is discussed Whenever possible, population</w:t>
      </w:r>
      <w:r>
        <w:t xml:space="preserve"> </w:t>
      </w:r>
      <w:r>
        <w:t xml:space="preserve">estimates were made at the bend level and then aggregated to the segment</w:t>
      </w:r>
      <w:r>
        <w:t xml:space="preserve"> </w:t>
      </w:r>
      <w:r>
        <w:t xml:space="preserve">level. There were a few cases, where we could not achieve this spatial</w:t>
      </w:r>
      <w:r>
        <w:t xml:space="preserve"> </w:t>
      </w:r>
      <w:r>
        <w:t xml:space="preserve">scale of estimation and the details of how</w:t>
      </w:r>
    </w:p>
    <w:p>
      <w:pPr>
        <w:pStyle w:val="Heading1"/>
      </w:pPr>
      <w:bookmarkStart w:id="71" w:name="valuing-fundamental-objectives"/>
      <w:bookmarkEnd w:id="71"/>
      <w:r>
        <w:t xml:space="preserve">Valuing fundamental objectives</w:t>
      </w:r>
    </w:p>
    <w:p>
      <w:pPr>
        <w:pStyle w:val="Heading2"/>
      </w:pPr>
      <w:bookmarkStart w:id="72" w:name="objectives-hierarchy-and-attributes-1"/>
      <w:bookmarkEnd w:id="72"/>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73" w:name="quantify-ps-recruitment-to-age-1-natural-origin"/>
      <w:bookmarkEnd w:id="73"/>
      <w:r>
        <w:t xml:space="preserve">1. Quantify PS recruitment to age-1 (Natural origin)</w:t>
      </w:r>
    </w:p>
    <w:p>
      <w:pPr>
        <w:pStyle w:val="Compact"/>
        <w:numPr>
          <w:numId w:val="1033"/>
          <w:ilvl w:val="0"/>
        </w:numPr>
      </w:pPr>
      <w:r>
        <w:t xml:space="preserve">Power to detect age-1 natural origin recruits if recruitment occurs</w:t>
      </w:r>
    </w:p>
    <w:p>
      <w:pPr>
        <w:pStyle w:val="Compact"/>
        <w:numPr>
          <w:numId w:val="1033"/>
          <w:ilvl w:val="0"/>
        </w:numPr>
      </w:pPr>
      <w:r>
        <w:t xml:space="preserve">Segment level age-1 abundance</w:t>
      </w:r>
    </w:p>
    <w:p>
      <w:pPr>
        <w:pStyle w:val="Compact"/>
        <w:numPr>
          <w:numId w:val="1034"/>
          <w:ilvl w:val="1"/>
        </w:numPr>
      </w:pPr>
      <w:r>
        <w:t xml:space="preserve">bias</w:t>
      </w:r>
    </w:p>
    <w:p>
      <w:pPr>
        <w:pStyle w:val="Compact"/>
        <w:numPr>
          <w:numId w:val="1034"/>
          <w:ilvl w:val="1"/>
        </w:numPr>
      </w:pPr>
      <w:r>
        <w:t xml:space="preserve">precision</w:t>
      </w:r>
    </w:p>
    <w:p>
      <w:pPr>
        <w:pStyle w:val="Compact"/>
        <w:numPr>
          <w:numId w:val="1033"/>
          <w:ilvl w:val="0"/>
        </w:numPr>
      </w:pPr>
      <w:r>
        <w:t xml:space="preserve">Estimate age-1 recruitment rate (natural origin)</w:t>
      </w:r>
    </w:p>
    <w:p>
      <w:pPr>
        <w:pStyle w:val="Compact"/>
        <w:numPr>
          <w:numId w:val="1035"/>
          <w:ilvl w:val="1"/>
        </w:numPr>
      </w:pPr>
      <w:r>
        <w:t xml:space="preserve">bias</w:t>
      </w:r>
    </w:p>
    <w:p>
      <w:pPr>
        <w:pStyle w:val="Compact"/>
        <w:numPr>
          <w:numId w:val="1035"/>
          <w:ilvl w:val="1"/>
        </w:numPr>
      </w:pPr>
      <w:r>
        <w:t xml:space="preserve">precision</w:t>
      </w:r>
    </w:p>
    <w:p>
      <w:pPr>
        <w:pStyle w:val="Heading3"/>
      </w:pPr>
      <w:bookmarkStart w:id="74" w:name="quantify-ps-population-trend-natural-and-hatchery-origin"/>
      <w:bookmarkEnd w:id="74"/>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6"/>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6"/>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6"/>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75" w:name="maintain-compatibility-with-legacy-pspap-data"/>
      <w:bookmarkEnd w:id="75"/>
      <w:r>
        <w:t xml:space="preserve">3. Maintain compatibility with legacy PSPAP data</w:t>
      </w:r>
    </w:p>
    <w:p>
      <w:pPr>
        <w:pStyle w:val="Compact"/>
        <w:numPr>
          <w:numId w:val="1037"/>
          <w:ilvl w:val="0"/>
        </w:numPr>
      </w:pPr>
      <w:r>
        <w:t xml:space="preserve">Proportion of randomly selected bends within segment</w:t>
      </w:r>
    </w:p>
    <w:p>
      <w:pPr>
        <w:pStyle w:val="Compact"/>
        <w:numPr>
          <w:numId w:val="1037"/>
          <w:ilvl w:val="0"/>
        </w:numPr>
      </w:pPr>
      <w:r>
        <w:t xml:space="preserve">Gears similarity: proportion of standard gears used by design</w:t>
      </w:r>
    </w:p>
    <w:p>
      <w:pPr>
        <w:pStyle w:val="Compact"/>
        <w:numPr>
          <w:numId w:val="1037"/>
          <w:ilvl w:val="0"/>
        </w:numPr>
      </w:pPr>
      <w:r>
        <w:t xml:space="preserve">Effort similarity: deviation from average effort</w:t>
      </w:r>
    </w:p>
    <w:p>
      <w:pPr>
        <w:pStyle w:val="Heading3"/>
      </w:pPr>
      <w:bookmarkStart w:id="76" w:name="provide-relevant-ps-model-inputs"/>
      <w:bookmarkEnd w:id="76"/>
      <w:r>
        <w:t xml:space="preserve">4. Provide relevant PS model inputs</w:t>
      </w:r>
    </w:p>
    <w:p>
      <w:pPr>
        <w:pStyle w:val="Heading3"/>
      </w:pPr>
      <w:bookmarkStart w:id="77" w:name="remain-in-cost-constraints"/>
      <w:bookmarkEnd w:id="77"/>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78" w:name="estimating-cost-per-gear-deployment"/>
      <w:bookmarkEnd w:id="78"/>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38"/>
          <w:ilvl w:val="0"/>
        </w:numPr>
      </w:pPr>
      <w:r>
        <w:t xml:space="preserve">Annual funding provided to each field crew</w:t>
      </w:r>
    </w:p>
    <w:p>
      <w:pPr>
        <w:pStyle w:val="Compact"/>
        <w:numPr>
          <w:numId w:val="1038"/>
          <w:ilvl w:val="0"/>
        </w:numPr>
      </w:pPr>
      <w:r>
        <w:t xml:space="preserve">Calculate the number of bends sampled in a year</w:t>
      </w:r>
    </w:p>
    <w:p>
      <w:pPr>
        <w:pStyle w:val="Compact"/>
        <w:numPr>
          <w:numId w:val="1038"/>
          <w:ilvl w:val="0"/>
        </w:numPr>
      </w:pPr>
      <w:r>
        <w:t xml:space="preserve">Divide the cost by the total to get a field crew specific</w:t>
      </w:r>
      <w:r>
        <w:t xml:space="preserve"> </w:t>
      </w:r>
      <w:r>
        <w:t xml:space="preserve">cost per bend.</w:t>
      </w:r>
    </w:p>
    <w:p>
      <w:pPr>
        <w:pStyle w:val="Compact"/>
        <w:numPr>
          <w:numId w:val="1038"/>
          <w:ilvl w:val="0"/>
        </w:numPr>
      </w:pPr>
      <w:r>
        <w:t xml:space="preserve">Model or empirical distribution</w:t>
      </w:r>
    </w:p>
    <w:p>
      <w:pPr>
        <w:pStyle w:val="Compact"/>
        <w:numPr>
          <w:numId w:val="1039"/>
          <w:ilvl w:val="0"/>
        </w:numPr>
      </w:pPr>
      <w:r>
        <w:t xml:space="preserve">The season will begin when water temperatures decline to 12.8C or less</w:t>
      </w:r>
      <w:r>
        <w:t xml:space="preserve"> </w:t>
      </w:r>
      <w:r>
        <w:t xml:space="preserve">(in the fall) and will continue through June 30.</w:t>
      </w:r>
    </w:p>
    <w:p>
      <w:pPr>
        <w:pStyle w:val="Compact"/>
        <w:numPr>
          <w:numId w:val="1039"/>
          <w:ilvl w:val="0"/>
        </w:numPr>
      </w:pPr>
      <w:r>
        <w:t xml:space="preserve">The Fish Community Season will be July 1 through October 30 throughout</w:t>
      </w:r>
      <w:r>
        <w:t xml:space="preserve"> </w:t>
      </w:r>
      <w:r>
        <w:t xml:space="preserve">the geographic range of the PSPAP.</w:t>
      </w:r>
    </w:p>
    <w:p>
      <w:pPr>
        <w:pStyle w:val="Heading4"/>
      </w:pPr>
      <w:bookmarkStart w:id="79" w:name="important-assumptions"/>
      <w:bookmarkEnd w:id="79"/>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40"/>
          <w:ilvl w:val="0"/>
        </w:numPr>
      </w:pPr>
      <w:r>
        <w:t xml:space="preserve">Survival (RPMA level)</w:t>
      </w:r>
    </w:p>
    <w:p>
      <w:pPr>
        <w:pStyle w:val="Compact"/>
        <w:numPr>
          <w:numId w:val="1041"/>
          <w:ilvl w:val="1"/>
        </w:numPr>
      </w:pPr>
      <w:r>
        <w:t xml:space="preserve">bias</w:t>
      </w:r>
    </w:p>
    <w:p>
      <w:pPr>
        <w:pStyle w:val="Compact"/>
        <w:numPr>
          <w:numId w:val="1041"/>
          <w:ilvl w:val="1"/>
        </w:numPr>
      </w:pPr>
      <w:r>
        <w:t xml:space="preserve">precision</w:t>
      </w:r>
    </w:p>
    <w:p>
      <w:pPr>
        <w:pStyle w:val="Compact"/>
        <w:numPr>
          <w:numId w:val="1040"/>
          <w:ilvl w:val="0"/>
        </w:numPr>
      </w:pPr>
      <w:r>
        <w:t xml:space="preserve">Fecundity (RPMA level)</w:t>
      </w:r>
    </w:p>
    <w:p>
      <w:pPr>
        <w:pStyle w:val="Compact"/>
        <w:numPr>
          <w:numId w:val="1042"/>
          <w:ilvl w:val="1"/>
        </w:numPr>
      </w:pPr>
      <w:r>
        <w:t xml:space="preserve">bias</w:t>
      </w:r>
    </w:p>
    <w:p>
      <w:pPr>
        <w:pStyle w:val="Compact"/>
        <w:numPr>
          <w:numId w:val="1042"/>
          <w:ilvl w:val="1"/>
        </w:numPr>
      </w:pPr>
      <w:r>
        <w:t xml:space="preserve">precision</w:t>
      </w:r>
    </w:p>
    <w:p>
      <w:pPr>
        <w:pStyle w:val="Compact"/>
        <w:numPr>
          <w:numId w:val="1040"/>
          <w:ilvl w:val="0"/>
        </w:numPr>
      </w:pPr>
      <w:r>
        <w:t xml:space="preserve">Growth (RPMA)</w:t>
      </w:r>
    </w:p>
    <w:p>
      <w:pPr>
        <w:pStyle w:val="Compact"/>
        <w:numPr>
          <w:numId w:val="1043"/>
          <w:ilvl w:val="1"/>
        </w:numPr>
      </w:pPr>
      <w:r>
        <w:t xml:space="preserve">bias</w:t>
      </w:r>
    </w:p>
    <w:p>
      <w:pPr>
        <w:pStyle w:val="Compact"/>
        <w:numPr>
          <w:numId w:val="1043"/>
          <w:ilvl w:val="1"/>
        </w:numPr>
      </w:pPr>
      <w:r>
        <w:t xml:space="preserve">precision</w:t>
      </w:r>
    </w:p>
    <w:p>
      <w:pPr>
        <w:pStyle w:val="Compact"/>
        <w:numPr>
          <w:numId w:val="1040"/>
          <w:ilvl w:val="0"/>
        </w:numPr>
      </w:pPr>
      <w:r>
        <w:t xml:space="preserve">Movement</w:t>
      </w:r>
    </w:p>
    <w:p>
      <w:pPr>
        <w:pStyle w:val="Compact"/>
        <w:numPr>
          <w:numId w:val="1044"/>
          <w:ilvl w:val="1"/>
        </w:numPr>
      </w:pPr>
      <w:r>
        <w:t xml:space="preserve">fidelity</w:t>
      </w:r>
    </w:p>
    <w:p>
      <w:pPr>
        <w:pStyle w:val="Compact"/>
        <w:numPr>
          <w:numId w:val="1044"/>
          <w:ilvl w:val="1"/>
        </w:numPr>
      </w:pPr>
      <w:r>
        <w:t xml:space="preserve">among segment movement</w:t>
      </w:r>
    </w:p>
    <w:p>
      <w:pPr>
        <w:pStyle w:val="Compact"/>
        <w:numPr>
          <w:numId w:val="1040"/>
          <w:ilvl w:val="0"/>
        </w:numPr>
      </w:pPr>
      <w:r>
        <w:t xml:space="preserve">Population structure and characteristics (segment level)</w:t>
      </w:r>
    </w:p>
    <w:p>
      <w:pPr>
        <w:pStyle w:val="Compact"/>
        <w:numPr>
          <w:numId w:val="1045"/>
          <w:ilvl w:val="1"/>
        </w:numPr>
      </w:pPr>
      <w:r>
        <w:t xml:space="preserve">Size structure</w:t>
      </w:r>
    </w:p>
    <w:p>
      <w:pPr>
        <w:pStyle w:val="Compact"/>
        <w:numPr>
          <w:numId w:val="1046"/>
          <w:ilvl w:val="2"/>
        </w:numPr>
      </w:pPr>
      <w:r>
        <w:t xml:space="preserve">bias</w:t>
      </w:r>
    </w:p>
    <w:p>
      <w:pPr>
        <w:pStyle w:val="Compact"/>
        <w:numPr>
          <w:numId w:val="1046"/>
          <w:ilvl w:val="2"/>
        </w:numPr>
      </w:pPr>
      <w:r>
        <w:t xml:space="preserve">precision</w:t>
      </w:r>
    </w:p>
    <w:p>
      <w:pPr>
        <w:pStyle w:val="Compact"/>
        <w:numPr>
          <w:numId w:val="1045"/>
          <w:ilvl w:val="1"/>
        </w:numPr>
      </w:pPr>
      <w:r>
        <w:t xml:space="preserve">Sex ratio (segment level)</w:t>
      </w:r>
    </w:p>
    <w:p>
      <w:pPr>
        <w:pStyle w:val="Compact"/>
        <w:numPr>
          <w:numId w:val="1047"/>
          <w:ilvl w:val="2"/>
        </w:numPr>
      </w:pPr>
      <w:r>
        <w:t xml:space="preserve">bias</w:t>
      </w:r>
    </w:p>
    <w:p>
      <w:pPr>
        <w:pStyle w:val="Compact"/>
        <w:numPr>
          <w:numId w:val="1047"/>
          <w:ilvl w:val="2"/>
        </w:numPr>
      </w:pPr>
      <w:r>
        <w:t xml:space="preserve">precision</w:t>
      </w:r>
    </w:p>
    <w:p>
      <w:pPr>
        <w:pStyle w:val="Heading3"/>
      </w:pPr>
      <w:bookmarkStart w:id="80" w:name="estimate-segment-level-abundance-origin-and-stage-specific"/>
      <w:bookmarkEnd w:id="80"/>
      <w:r>
        <w:t xml:space="preserve">3. Estimate segment-level abundance, origin and stage specific</w:t>
      </w:r>
    </w:p>
    <w:p>
      <w:pPr>
        <w:numPr>
          <w:numId w:val="1048"/>
          <w:ilvl w:val="0"/>
        </w:numPr>
      </w:pPr>
      <w:r>
        <w:t xml:space="preserve">bias</w:t>
      </w:r>
    </w:p>
    <w:p>
      <w:pPr>
        <w:numPr>
          <w:numId w:val="1048"/>
          <w:ilvl w:val="0"/>
        </w:numPr>
      </w:pPr>
      <w:r>
        <w:t xml:space="preserve">precision</w:t>
      </w:r>
    </w:p>
    <w:p>
      <w:pPr>
        <w:numPr>
          <w:numId w:val="1048"/>
          <w:ilvl w:val="0"/>
        </w:numPr>
      </w:pPr>
      <w:r>
        <w:t xml:space="preserve">spatial distribution</w:t>
      </w:r>
    </w:p>
    <w:p>
      <w:pPr>
        <w:pStyle w:val="Heading3"/>
      </w:pPr>
      <w:bookmarkStart w:id="81" w:name="valuing-the-fundamental-objective"/>
      <w:bookmarkEnd w:id="81"/>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Heading3"/>
      </w:pPr>
      <w:bookmarkStart w:id="82" w:name="linking-monitoring-designs-and-objectives"/>
      <w:bookmarkEnd w:id="82"/>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9"/>
          <w:ilvl w:val="0"/>
        </w:numPr>
      </w:pPr>
      <w:r>
        <w:t xml:space="preserve">Catch effort</w:t>
      </w:r>
    </w:p>
    <w:p>
      <w:pPr>
        <w:pStyle w:val="Compact"/>
        <w:numPr>
          <w:numId w:val="1050"/>
          <w:ilvl w:val="1"/>
        </w:numPr>
      </w:pPr>
      <w:r>
        <w:t xml:space="preserve">Proportional bias = -60, scaled = 0.8</w:t>
      </w:r>
    </w:p>
    <w:p>
      <w:pPr>
        <w:pStyle w:val="Compact"/>
        <w:numPr>
          <w:numId w:val="1050"/>
          <w:ilvl w:val="1"/>
        </w:numPr>
      </w:pPr>
      <w:r>
        <w:t xml:space="preserve">Precision = 112, scaled = 0.648</w:t>
      </w:r>
    </w:p>
    <w:p>
      <w:pPr>
        <w:pStyle w:val="Compact"/>
        <w:numPr>
          <w:numId w:val="1050"/>
          <w:ilvl w:val="1"/>
        </w:numPr>
      </w:pPr>
      <w:r>
        <w:t xml:space="preserve">Performance = 100, scaled = 1</w:t>
      </w:r>
    </w:p>
    <w:p>
      <w:pPr>
        <w:pStyle w:val="Compact"/>
        <w:numPr>
          <w:numId w:val="1049"/>
          <w:ilvl w:val="0"/>
        </w:numPr>
      </w:pPr>
      <w:r>
        <w:t xml:space="preserve">Capture recapture</w:t>
      </w:r>
    </w:p>
    <w:p>
      <w:pPr>
        <w:pStyle w:val="Compact"/>
        <w:numPr>
          <w:numId w:val="1051"/>
          <w:ilvl w:val="1"/>
        </w:numPr>
      </w:pPr>
      <w:r>
        <w:t xml:space="preserve">Proportional bias = 5, scaled = 0.983</w:t>
      </w:r>
    </w:p>
    <w:p>
      <w:pPr>
        <w:pStyle w:val="Compact"/>
        <w:numPr>
          <w:numId w:val="1051"/>
          <w:ilvl w:val="1"/>
        </w:numPr>
      </w:pPr>
      <w:r>
        <w:t xml:space="preserve">Precision = 115, scaled = 0.638</w:t>
      </w:r>
    </w:p>
    <w:p>
      <w:pPr>
        <w:pStyle w:val="Compact"/>
        <w:numPr>
          <w:numId w:val="1051"/>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1"/>
      </w:pPr>
      <w:bookmarkStart w:id="83" w:name="sub-objectives"/>
      <w:bookmarkEnd w:id="83"/>
      <w:r>
        <w:t xml:space="preserve">Sub-objectives</w:t>
      </w:r>
    </w:p>
    <w:p>
      <w:pPr>
        <w:pStyle w:val="Heading2"/>
      </w:pPr>
      <w:bookmarkStart w:id="84" w:name="fecundity"/>
      <w:bookmarkEnd w:id="84"/>
      <w:r>
        <w:t xml:space="preserve">Fecundity</w:t>
      </w:r>
    </w:p>
    <w:p>
      <w:pPr>
        <w:pStyle w:val="FirstParagraph"/>
      </w:pPr>
      <w:r>
        <w:drawing>
          <wp:inline>
            <wp:extent cx="6006164" cy="6006164"/>
            <wp:effectExtent b="0" l="0" r="0" t="0"/>
            <wp:docPr descr="" title="" id="1" name="Picture"/>
            <a:graphic>
              <a:graphicData uri="http://schemas.openxmlformats.org/drawingml/2006/picture">
                <pic:pic>
                  <pic:nvPicPr>
                    <pic:cNvPr descr="201802021022-reboot-master-report_files/figure-docx/unnamed-chunk-14-1.png" id="0" name="Picture"/>
                    <pic:cNvPicPr>
                      <a:picLocks noChangeArrowheads="1" noChangeAspect="1"/>
                    </pic:cNvPicPr>
                  </pic:nvPicPr>
                  <pic:blipFill>
                    <a:blip r:embed="rId8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14-2.png" id="0" name="Picture"/>
                    <pic:cNvPicPr>
                      <a:picLocks noChangeArrowheads="1" noChangeAspect="1"/>
                    </pic:cNvPicPr>
                  </pic:nvPicPr>
                  <pic:blipFill>
                    <a:blip r:embed="rId86"/>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87" w:name="discussion"/>
      <w:bookmarkEnd w:id="87"/>
      <w:r>
        <w:t xml:space="preserve">Discussion</w:t>
      </w:r>
    </w:p>
    <w:p>
      <w:pPr>
        <w:pStyle w:val="Heading5"/>
      </w:pPr>
      <w:bookmarkStart w:id="88" w:name="page-break"/>
      <w:bookmarkEnd w:id="88"/>
      <w:r>
        <w:t xml:space="preserve">page break</w:t>
      </w:r>
    </w:p>
    <w:p>
      <w:pPr>
        <w:pStyle w:val="Heading1"/>
      </w:pPr>
      <w:bookmarkStart w:id="89" w:name="figures"/>
      <w:bookmarkEnd w:id="89"/>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90"/>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91" w:name="page-break-1"/>
      <w:bookmarkEnd w:id="91"/>
      <w:r>
        <w:t xml:space="preserve">Page Break</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92"/>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93" w:name="page-break-2"/>
      <w:bookmarkEnd w:id="93"/>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94"/>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95" w:name="page-break-3"/>
      <w:bookmarkEnd w:id="95"/>
      <w:r>
        <w:t xml:space="preserve">Page Break</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96"/>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97" w:name="page-break-4"/>
      <w:bookmarkEnd w:id="97"/>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98"/>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99" w:name="page-break-5"/>
      <w:bookmarkEnd w:id="99"/>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100"/>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101" w:name="page-break-6"/>
      <w:bookmarkEnd w:id="101"/>
      <w:r>
        <w:t xml:space="preserve">page break</w:t>
      </w:r>
    </w:p>
    <w:p>
      <w:pPr>
        <w:pStyle w:val="FirstParagraph"/>
      </w:pP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1.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2.png" id="0" name="Picture"/>
                    <pic:cNvPicPr>
                      <a:picLocks noChangeArrowheads="1" noChangeAspect="1"/>
                    </pic:cNvPicPr>
                  </pic:nvPicPr>
                  <pic:blipFill>
                    <a:blip r:embed="rId10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3.png" id="0" name="Picture"/>
                    <pic:cNvPicPr>
                      <a:picLocks noChangeArrowheads="1" noChangeAspect="1"/>
                    </pic:cNvPicPr>
                  </pic:nvPicPr>
                  <pic:blipFill>
                    <a:blip r:embed="rId10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4.png" id="0" name="Picture"/>
                    <pic:cNvPicPr>
                      <a:picLocks noChangeArrowheads="1" noChangeAspect="1"/>
                    </pic:cNvPicPr>
                  </pic:nvPicPr>
                  <pic:blipFill>
                    <a:blip r:embed="rId10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5.png" id="0" name="Picture"/>
                    <pic:cNvPicPr>
                      <a:picLocks noChangeArrowheads="1" noChangeAspect="1"/>
                    </pic:cNvPicPr>
                  </pic:nvPicPr>
                  <pic:blipFill>
                    <a:blip r:embed="rId10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6.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7.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1-8.png" id="0" name="Picture"/>
                    <pic:cNvPicPr>
                      <a:picLocks noChangeArrowheads="1" noChangeAspect="1"/>
                    </pic:cNvPicPr>
                  </pic:nvPicPr>
                  <pic:blipFill>
                    <a:blip r:embed="rId109"/>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title="" id="1" name="Picture"/>
            <a:graphic>
              <a:graphicData uri="http://schemas.openxmlformats.org/drawingml/2006/picture">
                <pic:pic>
                  <pic:nvPicPr>
                    <pic:cNvPr descr="201802021022-reboot-master-report_files/figure-docx/unnamed-chunk-22-1.png" id="0" name="Picture"/>
                    <pic:cNvPicPr>
                      <a:picLocks noChangeArrowheads="1" noChangeAspect="1"/>
                    </pic:cNvPicPr>
                  </pic:nvPicPr>
                  <pic:blipFill>
                    <a:blip r:embed="rId110"/>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Heading2"/>
      </w:pPr>
      <w:bookmarkStart w:id="111" w:name="effort-figures"/>
      <w:bookmarkEnd w:id="111"/>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12" w:name="tables"/>
      <w:bookmarkEnd w:id="112"/>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13" w:name="page-break-7"/>
      <w:bookmarkEnd w:id="11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14" w:name="page-break-8"/>
      <w:bookmarkEnd w:id="114"/>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15" w:name="page-break-9"/>
      <w:bookmarkEnd w:id="115"/>
      <w:r>
        <w:t xml:space="preserve">page break</w:t>
      </w:r>
    </w:p>
    <w:p>
      <w:pPr>
        <w:pStyle w:val="FirstParagraph"/>
      </w:pPr>
      <w:r>
        <w:t xml:space="preserve">Table 4.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16" w:name="effort-tables"/>
      <w:bookmarkEnd w:id="116"/>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4. Summary of effort data (minutes of use per catch trial) for</w:t>
      </w:r>
      <w:r>
        <w:t xml:space="preserve"> </w:t>
      </w:r>
      <w:r>
        <w:t xml:space="preserve">each common gear type.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PSPAP gear code</w:t>
            </w:r>
          </w:p>
        </w:tc>
        <w:tc>
          <w:tcPr>
            <w:tcBorders>
              <w:bottom w:val="single"/>
            </w:tcBorders>
            <w:vAlign w:val="bottom"/>
          </w:tcPr>
          <w:p>
            <w:pPr>
              <w:pStyle w:val="Compact"/>
              <w:jc w:val="right"/>
            </w:pPr>
            <w:r>
              <w:t xml:space="preserve">Gear id</w:t>
            </w:r>
          </w:p>
        </w:tc>
        <w:tc>
          <w:tcPr>
            <w:tcBorders>
              <w:bottom w:val="single"/>
            </w:tcBorders>
            <w:vAlign w:val="bottom"/>
          </w:tcPr>
          <w:p>
            <w:pPr>
              <w:pStyle w:val="Compact"/>
              <w:jc w:val="right"/>
            </w:pPr>
            <w:r>
              <w:t xml:space="preserve">No. of Obs.</w:t>
            </w:r>
          </w:p>
        </w:tc>
        <w:tc>
          <w:tcPr>
            <w:tcBorders>
              <w:bottom w:val="single"/>
            </w:tcBorders>
            <w:vAlign w:val="bottom"/>
          </w:tcPr>
          <w:p>
            <w:pPr>
              <w:pStyle w:val="Compact"/>
              <w:jc w:val="right"/>
            </w:pPr>
            <w:r>
              <w:t xml:space="preserve">Mean Effort</w:t>
            </w:r>
          </w:p>
        </w:tc>
        <w:tc>
          <w:tcPr>
            <w:tcBorders>
              <w:bottom w:val="single"/>
            </w:tcBorders>
            <w:vAlign w:val="bottom"/>
          </w:tcPr>
          <w:p>
            <w:pPr>
              <w:pStyle w:val="Compact"/>
              <w:jc w:val="right"/>
            </w:pPr>
            <w:r>
              <w:t xml:space="preserve">Standard Deviation</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Gamma_Shape</w:t>
            </w:r>
          </w:p>
        </w:tc>
        <w:tc>
          <w:tcPr>
            <w:tcBorders>
              <w:bottom w:val="single"/>
            </w:tcBorders>
            <w:vAlign w:val="bottom"/>
          </w:tcPr>
          <w:p>
            <w:pPr>
              <w:pStyle w:val="Compact"/>
              <w:jc w:val="right"/>
            </w:pPr>
            <w:r>
              <w:t xml:space="preserve">Gamma_Rate</w:t>
            </w:r>
          </w:p>
        </w:tc>
      </w:tr>
      <w:tr>
        <w:tc>
          <w:p>
            <w:pPr>
              <w:pStyle w:val="Compact"/>
              <w:jc w:val="left"/>
            </w:pPr>
            <w:r>
              <w:t xml:space="preserve">LB</w:t>
            </w:r>
          </w:p>
        </w:tc>
        <w:tc>
          <w:p>
            <w:pPr>
              <w:pStyle w:val="Compact"/>
              <w:jc w:val="left"/>
            </w:pPr>
            <w:r>
              <w:t xml:space="preserve">GN14</w:t>
            </w:r>
          </w:p>
        </w:tc>
        <w:tc>
          <w:p>
            <w:pPr>
              <w:pStyle w:val="Compact"/>
              <w:jc w:val="right"/>
            </w:pPr>
            <w:r>
              <w:t xml:space="preserve">18</w:t>
            </w:r>
          </w:p>
        </w:tc>
        <w:tc>
          <w:p>
            <w:pPr>
              <w:pStyle w:val="Compact"/>
              <w:jc w:val="right"/>
            </w:pPr>
            <w:r>
              <w:t xml:space="preserve">1523</w:t>
            </w:r>
          </w:p>
        </w:tc>
        <w:tc>
          <w:p>
            <w:pPr>
              <w:pStyle w:val="Compact"/>
              <w:jc w:val="right"/>
            </w:pPr>
            <w:r>
              <w:t xml:space="preserve">1326</w:t>
            </w:r>
          </w:p>
        </w:tc>
        <w:tc>
          <w:p>
            <w:pPr>
              <w:pStyle w:val="Compact"/>
              <w:jc w:val="right"/>
            </w:pPr>
            <w:r>
              <w:t xml:space="preserve">89</w:t>
            </w:r>
          </w:p>
        </w:tc>
        <w:tc>
          <w:p>
            <w:pPr>
              <w:pStyle w:val="Compact"/>
              <w:jc w:val="right"/>
            </w:pPr>
            <w:r>
              <w:t xml:space="preserve">1002</w:t>
            </w:r>
          </w:p>
        </w:tc>
        <w:tc>
          <w:p>
            <w:pPr>
              <w:pStyle w:val="Compact"/>
              <w:jc w:val="right"/>
            </w:pPr>
            <w:r>
              <w:t xml:space="preserve">1633</w:t>
            </w:r>
          </w:p>
        </w:tc>
        <w:tc>
          <w:p>
            <w:pPr>
              <w:pStyle w:val="Compact"/>
              <w:jc w:val="right"/>
            </w:pPr>
            <w:r>
              <w:t xml:space="preserve">1333</w:t>
            </w:r>
          </w:p>
        </w:tc>
        <w:tc>
          <w:p>
            <w:pPr>
              <w:pStyle w:val="Compact"/>
              <w:jc w:val="right"/>
            </w:pPr>
            <w:r>
              <w:t xml:space="preserve">224.493086</w:t>
            </w:r>
          </w:p>
        </w:tc>
        <w:tc>
          <w:p>
            <w:pPr>
              <w:pStyle w:val="Compact"/>
              <w:jc w:val="right"/>
            </w:pPr>
            <w:r>
              <w:t xml:space="preserve">0.1692404</w:t>
            </w:r>
          </w:p>
        </w:tc>
      </w:tr>
      <w:tr>
        <w:tc>
          <w:p>
            <w:pPr>
              <w:pStyle w:val="Compact"/>
              <w:jc w:val="left"/>
            </w:pPr>
            <w:r>
              <w:t xml:space="preserve">LB</w:t>
            </w:r>
          </w:p>
        </w:tc>
        <w:tc>
          <w:p>
            <w:pPr>
              <w:pStyle w:val="Compact"/>
              <w:jc w:val="left"/>
            </w:pPr>
            <w:r>
              <w:t xml:space="preserve">GN18</w:t>
            </w:r>
          </w:p>
        </w:tc>
        <w:tc>
          <w:p>
            <w:pPr>
              <w:pStyle w:val="Compact"/>
              <w:jc w:val="right"/>
            </w:pPr>
            <w:r>
              <w:t xml:space="preserve">21</w:t>
            </w:r>
          </w:p>
        </w:tc>
        <w:tc>
          <w:p>
            <w:pPr>
              <w:pStyle w:val="Compact"/>
              <w:jc w:val="right"/>
            </w:pPr>
            <w:r>
              <w:t xml:space="preserve">4698</w:t>
            </w:r>
          </w:p>
        </w:tc>
        <w:tc>
          <w:p>
            <w:pPr>
              <w:pStyle w:val="Compact"/>
              <w:jc w:val="right"/>
            </w:pPr>
            <w:r>
              <w:t xml:space="preserve">1221</w:t>
            </w:r>
          </w:p>
        </w:tc>
        <w:tc>
          <w:p>
            <w:pPr>
              <w:pStyle w:val="Compact"/>
              <w:jc w:val="right"/>
            </w:pPr>
            <w:r>
              <w:t xml:space="preserve">123</w:t>
            </w:r>
          </w:p>
        </w:tc>
        <w:tc>
          <w:p>
            <w:pPr>
              <w:pStyle w:val="Compact"/>
              <w:jc w:val="right"/>
            </w:pPr>
            <w:r>
              <w:t xml:space="preserve">750</w:t>
            </w:r>
          </w:p>
        </w:tc>
        <w:tc>
          <w:p>
            <w:pPr>
              <w:pStyle w:val="Compact"/>
              <w:jc w:val="right"/>
            </w:pPr>
            <w:r>
              <w:t xml:space="preserve">1695</w:t>
            </w:r>
          </w:p>
        </w:tc>
        <w:tc>
          <w:p>
            <w:pPr>
              <w:pStyle w:val="Compact"/>
              <w:jc w:val="right"/>
            </w:pPr>
            <w:r>
              <w:t xml:space="preserve">1221</w:t>
            </w:r>
          </w:p>
        </w:tc>
        <w:tc>
          <w:p>
            <w:pPr>
              <w:pStyle w:val="Compact"/>
              <w:jc w:val="right"/>
            </w:pPr>
            <w:r>
              <w:t xml:space="preserve">98.540664</w:t>
            </w:r>
          </w:p>
        </w:tc>
        <w:tc>
          <w:p>
            <w:pPr>
              <w:pStyle w:val="Compact"/>
              <w:jc w:val="right"/>
            </w:pPr>
            <w:r>
              <w:t xml:space="preserve">0.0807099</w:t>
            </w:r>
          </w:p>
        </w:tc>
      </w:tr>
      <w:tr>
        <w:tc>
          <w:p>
            <w:pPr>
              <w:pStyle w:val="Compact"/>
              <w:jc w:val="left"/>
            </w:pPr>
            <w:r>
              <w:t xml:space="preserve">LB</w:t>
            </w:r>
          </w:p>
        </w:tc>
        <w:tc>
          <w:p>
            <w:pPr>
              <w:pStyle w:val="Compact"/>
              <w:jc w:val="left"/>
            </w:pPr>
            <w:r>
              <w:t xml:space="preserve">GN41</w:t>
            </w:r>
          </w:p>
        </w:tc>
        <w:tc>
          <w:p>
            <w:pPr>
              <w:pStyle w:val="Compact"/>
              <w:jc w:val="right"/>
            </w:pPr>
            <w:r>
              <w:t xml:space="preserve">18</w:t>
            </w:r>
          </w:p>
        </w:tc>
        <w:tc>
          <w:p>
            <w:pPr>
              <w:pStyle w:val="Compact"/>
              <w:jc w:val="right"/>
            </w:pPr>
            <w:r>
              <w:t xml:space="preserve">1118</w:t>
            </w:r>
          </w:p>
        </w:tc>
        <w:tc>
          <w:p>
            <w:pPr>
              <w:pStyle w:val="Compact"/>
              <w:jc w:val="right"/>
            </w:pPr>
            <w:r>
              <w:t xml:space="preserve">1327</w:t>
            </w:r>
          </w:p>
        </w:tc>
        <w:tc>
          <w:p>
            <w:pPr>
              <w:pStyle w:val="Compact"/>
              <w:jc w:val="right"/>
            </w:pPr>
            <w:r>
              <w:t xml:space="preserve">91</w:t>
            </w:r>
          </w:p>
        </w:tc>
        <w:tc>
          <w:p>
            <w:pPr>
              <w:pStyle w:val="Compact"/>
              <w:jc w:val="right"/>
            </w:pPr>
            <w:r>
              <w:t xml:space="preserve">969</w:t>
            </w:r>
          </w:p>
        </w:tc>
        <w:tc>
          <w:p>
            <w:pPr>
              <w:pStyle w:val="Compact"/>
              <w:jc w:val="right"/>
            </w:pPr>
            <w:r>
              <w:t xml:space="preserve">1563</w:t>
            </w:r>
          </w:p>
        </w:tc>
        <w:tc>
          <w:p>
            <w:pPr>
              <w:pStyle w:val="Compact"/>
              <w:jc w:val="right"/>
            </w:pPr>
            <w:r>
              <w:t xml:space="preserve">1340</w:t>
            </w:r>
          </w:p>
        </w:tc>
        <w:tc>
          <w:p>
            <w:pPr>
              <w:pStyle w:val="Compact"/>
              <w:jc w:val="right"/>
            </w:pPr>
            <w:r>
              <w:t xml:space="preserve">210.667976</w:t>
            </w:r>
          </w:p>
        </w:tc>
        <w:tc>
          <w:p>
            <w:pPr>
              <w:pStyle w:val="Compact"/>
              <w:jc w:val="right"/>
            </w:pPr>
            <w:r>
              <w:t xml:space="preserve">0.1587651</w:t>
            </w:r>
          </w:p>
        </w:tc>
      </w:tr>
      <w:tr>
        <w:tc>
          <w:p>
            <w:pPr>
              <w:pStyle w:val="Compact"/>
              <w:jc w:val="left"/>
            </w:pPr>
            <w:r>
              <w:t xml:space="preserve">LB</w:t>
            </w:r>
          </w:p>
        </w:tc>
        <w:tc>
          <w:p>
            <w:pPr>
              <w:pStyle w:val="Compact"/>
              <w:jc w:val="left"/>
            </w:pPr>
            <w:r>
              <w:t xml:space="preserve">GN81</w:t>
            </w:r>
          </w:p>
        </w:tc>
        <w:tc>
          <w:p>
            <w:pPr>
              <w:pStyle w:val="Compact"/>
              <w:jc w:val="right"/>
            </w:pPr>
            <w:r>
              <w:t xml:space="preserve">21</w:t>
            </w:r>
          </w:p>
        </w:tc>
        <w:tc>
          <w:p>
            <w:pPr>
              <w:pStyle w:val="Compact"/>
              <w:jc w:val="right"/>
            </w:pPr>
            <w:r>
              <w:t xml:space="preserve">4094</w:t>
            </w:r>
          </w:p>
        </w:tc>
        <w:tc>
          <w:p>
            <w:pPr>
              <w:pStyle w:val="Compact"/>
              <w:jc w:val="right"/>
            </w:pPr>
            <w:r>
              <w:t xml:space="preserve">1219</w:t>
            </w:r>
          </w:p>
        </w:tc>
        <w:tc>
          <w:p>
            <w:pPr>
              <w:pStyle w:val="Compact"/>
              <w:jc w:val="right"/>
            </w:pPr>
            <w:r>
              <w:t xml:space="preserve">117</w:t>
            </w:r>
          </w:p>
        </w:tc>
        <w:tc>
          <w:p>
            <w:pPr>
              <w:pStyle w:val="Compact"/>
              <w:jc w:val="right"/>
            </w:pPr>
            <w:r>
              <w:t xml:space="preserve">750</w:t>
            </w:r>
          </w:p>
        </w:tc>
        <w:tc>
          <w:p>
            <w:pPr>
              <w:pStyle w:val="Compact"/>
              <w:jc w:val="right"/>
            </w:pPr>
            <w:r>
              <w:t xml:space="preserve">1678</w:t>
            </w:r>
          </w:p>
        </w:tc>
        <w:tc>
          <w:p>
            <w:pPr>
              <w:pStyle w:val="Compact"/>
              <w:jc w:val="right"/>
            </w:pPr>
            <w:r>
              <w:t xml:space="preserve">1222</w:t>
            </w:r>
          </w:p>
        </w:tc>
        <w:tc>
          <w:p>
            <w:pPr>
              <w:pStyle w:val="Compact"/>
              <w:jc w:val="right"/>
            </w:pPr>
            <w:r>
              <w:t xml:space="preserve">109.460899</w:t>
            </w:r>
          </w:p>
        </w:tc>
        <w:tc>
          <w:p>
            <w:pPr>
              <w:pStyle w:val="Compact"/>
              <w:jc w:val="right"/>
            </w:pPr>
            <w:r>
              <w:t xml:space="preserve">0.0897863</w:t>
            </w:r>
          </w:p>
        </w:tc>
      </w:tr>
      <w:tr>
        <w:tc>
          <w:p>
            <w:pPr>
              <w:pStyle w:val="Compact"/>
              <w:jc w:val="left"/>
            </w:pPr>
            <w:r>
              <w:t xml:space="preserve">LB</w:t>
            </w:r>
          </w:p>
        </w:tc>
        <w:tc>
          <w:p>
            <w:pPr>
              <w:pStyle w:val="Compact"/>
              <w:jc w:val="left"/>
            </w:pPr>
            <w:r>
              <w:t xml:space="preserve">MF</w:t>
            </w:r>
          </w:p>
        </w:tc>
        <w:tc>
          <w:p>
            <w:pPr>
              <w:pStyle w:val="Compact"/>
              <w:jc w:val="right"/>
            </w:pPr>
            <w:r>
              <w:t xml:space="preserve">41</w:t>
            </w:r>
          </w:p>
        </w:tc>
        <w:tc>
          <w:p>
            <w:pPr>
              <w:pStyle w:val="Compact"/>
              <w:jc w:val="right"/>
            </w:pPr>
            <w:r>
              <w:t xml:space="preserve">7411</w:t>
            </w:r>
          </w:p>
        </w:tc>
        <w:tc>
          <w:p>
            <w:pPr>
              <w:pStyle w:val="Compact"/>
              <w:jc w:val="right"/>
            </w:pPr>
            <w:r>
              <w:t xml:space="preserve">1278</w:t>
            </w:r>
          </w:p>
        </w:tc>
        <w:tc>
          <w:p>
            <w:pPr>
              <w:pStyle w:val="Compact"/>
              <w:jc w:val="right"/>
            </w:pPr>
            <w:r>
              <w:t xml:space="preserve">126</w:t>
            </w:r>
          </w:p>
        </w:tc>
        <w:tc>
          <w:p>
            <w:pPr>
              <w:pStyle w:val="Compact"/>
              <w:jc w:val="right"/>
            </w:pPr>
            <w:r>
              <w:t xml:space="preserve">729</w:t>
            </w:r>
          </w:p>
        </w:tc>
        <w:tc>
          <w:p>
            <w:pPr>
              <w:pStyle w:val="Compact"/>
              <w:jc w:val="right"/>
            </w:pPr>
            <w:r>
              <w:t xml:space="preserve">2106</w:t>
            </w:r>
          </w:p>
        </w:tc>
        <w:tc>
          <w:p>
            <w:pPr>
              <w:pStyle w:val="Compact"/>
              <w:jc w:val="right"/>
            </w:pPr>
            <w:r>
              <w:t xml:space="preserve">1288</w:t>
            </w:r>
          </w:p>
        </w:tc>
        <w:tc>
          <w:p>
            <w:pPr>
              <w:pStyle w:val="Compact"/>
              <w:jc w:val="right"/>
            </w:pPr>
            <w:r>
              <w:t xml:space="preserve">103.412037</w:t>
            </w:r>
          </w:p>
        </w:tc>
        <w:tc>
          <w:p>
            <w:pPr>
              <w:pStyle w:val="Compact"/>
              <w:jc w:val="right"/>
            </w:pPr>
            <w:r>
              <w:t xml:space="preserve">0.0808979</w:t>
            </w:r>
          </w:p>
        </w:tc>
      </w:tr>
      <w:tr>
        <w:tc>
          <w:p>
            <w:pPr>
              <w:pStyle w:val="Compact"/>
              <w:jc w:val="left"/>
            </w:pPr>
            <w:r>
              <w:t xml:space="preserve">LB</w:t>
            </w:r>
          </w:p>
        </w:tc>
        <w:tc>
          <w:p>
            <w:pPr>
              <w:pStyle w:val="Compact"/>
              <w:jc w:val="left"/>
            </w:pPr>
            <w:r>
              <w:t xml:space="preserve">OT16</w:t>
            </w:r>
          </w:p>
        </w:tc>
        <w:tc>
          <w:p>
            <w:pPr>
              <w:pStyle w:val="Compact"/>
              <w:jc w:val="right"/>
            </w:pPr>
            <w:r>
              <w:t xml:space="preserve">52</w:t>
            </w:r>
          </w:p>
        </w:tc>
        <w:tc>
          <w:p>
            <w:pPr>
              <w:pStyle w:val="Compact"/>
              <w:jc w:val="right"/>
            </w:pPr>
            <w:r>
              <w:t xml:space="preserve">606</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178</w:t>
            </w:r>
          </w:p>
        </w:tc>
        <w:tc>
          <w:p>
            <w:pPr>
              <w:pStyle w:val="Compact"/>
              <w:jc w:val="right"/>
            </w:pPr>
            <w:r>
              <w:t xml:space="preserve">2</w:t>
            </w:r>
          </w:p>
        </w:tc>
        <w:tc>
          <w:p>
            <w:pPr>
              <w:pStyle w:val="Compact"/>
              <w:jc w:val="right"/>
            </w:pPr>
            <w:r>
              <w:t xml:space="preserve">1.986635</w:t>
            </w:r>
          </w:p>
        </w:tc>
        <w:tc>
          <w:p>
            <w:pPr>
              <w:pStyle w:val="Compact"/>
              <w:jc w:val="right"/>
            </w:pPr>
            <w:r>
              <w:t xml:space="preserve">0.7149057</w:t>
            </w:r>
          </w:p>
        </w:tc>
      </w:tr>
      <w:tr>
        <w:tc>
          <w:p>
            <w:pPr>
              <w:pStyle w:val="Compact"/>
              <w:jc w:val="left"/>
            </w:pPr>
            <w:r>
              <w:t xml:space="preserve">LB</w:t>
            </w:r>
          </w:p>
        </w:tc>
        <w:tc>
          <w:p>
            <w:pPr>
              <w:pStyle w:val="Compact"/>
              <w:jc w:val="left"/>
            </w:pPr>
            <w:r>
              <w:t xml:space="preserve">TLC1</w:t>
            </w:r>
          </w:p>
        </w:tc>
        <w:tc>
          <w:p>
            <w:pPr>
              <w:pStyle w:val="Compact"/>
              <w:jc w:val="right"/>
            </w:pPr>
            <w:r>
              <w:t xml:space="preserve">87</w:t>
            </w:r>
          </w:p>
        </w:tc>
        <w:tc>
          <w:p>
            <w:pPr>
              <w:pStyle w:val="Compact"/>
              <w:jc w:val="right"/>
            </w:pPr>
            <w:r>
              <w:t xml:space="preserve">2164</w:t>
            </w:r>
          </w:p>
        </w:tc>
        <w:tc>
          <w:p>
            <w:pPr>
              <w:pStyle w:val="Compact"/>
              <w:jc w:val="right"/>
            </w:pPr>
            <w:r>
              <w:t xml:space="preserve">1336</w:t>
            </w:r>
          </w:p>
        </w:tc>
        <w:tc>
          <w:p>
            <w:pPr>
              <w:pStyle w:val="Compact"/>
              <w:jc w:val="right"/>
            </w:pPr>
            <w:r>
              <w:t xml:space="preserve">60</w:t>
            </w:r>
          </w:p>
        </w:tc>
        <w:tc>
          <w:p>
            <w:pPr>
              <w:pStyle w:val="Compact"/>
              <w:jc w:val="right"/>
            </w:pPr>
            <w:r>
              <w:t xml:space="preserve">1067</w:t>
            </w:r>
          </w:p>
        </w:tc>
        <w:tc>
          <w:p>
            <w:pPr>
              <w:pStyle w:val="Compact"/>
              <w:jc w:val="right"/>
            </w:pPr>
            <w:r>
              <w:t xml:space="preserve">1542</w:t>
            </w:r>
          </w:p>
        </w:tc>
        <w:tc>
          <w:p>
            <w:pPr>
              <w:pStyle w:val="Compact"/>
              <w:jc w:val="right"/>
            </w:pPr>
            <w:r>
              <w:t xml:space="preserve">1341</w:t>
            </w:r>
          </w:p>
        </w:tc>
        <w:tc>
          <w:p>
            <w:pPr>
              <w:pStyle w:val="Compact"/>
              <w:jc w:val="right"/>
            </w:pPr>
            <w:r>
              <w:t xml:space="preserve">500.663839</w:t>
            </w:r>
          </w:p>
        </w:tc>
        <w:tc>
          <w:p>
            <w:pPr>
              <w:pStyle w:val="Compact"/>
              <w:jc w:val="right"/>
            </w:pPr>
            <w:r>
              <w:t xml:space="preserve">0.3746263</w:t>
            </w:r>
          </w:p>
        </w:tc>
      </w:tr>
      <w:tr>
        <w:tc>
          <w:p>
            <w:pPr>
              <w:pStyle w:val="Compact"/>
              <w:jc w:val="left"/>
            </w:pPr>
            <w:r>
              <w:t xml:space="preserve">LB</w:t>
            </w:r>
          </w:p>
        </w:tc>
        <w:tc>
          <w:p>
            <w:pPr>
              <w:pStyle w:val="Compact"/>
              <w:jc w:val="left"/>
            </w:pPr>
            <w:r>
              <w:t xml:space="preserve">TLC2</w:t>
            </w:r>
          </w:p>
        </w:tc>
        <w:tc>
          <w:p>
            <w:pPr>
              <w:pStyle w:val="Compact"/>
              <w:jc w:val="right"/>
            </w:pPr>
            <w:r>
              <w:t xml:space="preserve">87</w:t>
            </w:r>
          </w:p>
        </w:tc>
        <w:tc>
          <w:p>
            <w:pPr>
              <w:pStyle w:val="Compact"/>
              <w:jc w:val="right"/>
            </w:pPr>
            <w:r>
              <w:t xml:space="preserve">5219</w:t>
            </w:r>
          </w:p>
        </w:tc>
        <w:tc>
          <w:p>
            <w:pPr>
              <w:pStyle w:val="Compact"/>
              <w:jc w:val="right"/>
            </w:pPr>
            <w:r>
              <w:t xml:space="preserve">1206</w:t>
            </w:r>
          </w:p>
        </w:tc>
        <w:tc>
          <w:p>
            <w:pPr>
              <w:pStyle w:val="Compact"/>
              <w:jc w:val="right"/>
            </w:pPr>
            <w:r>
              <w:t xml:space="preserve">109</w:t>
            </w:r>
          </w:p>
        </w:tc>
        <w:tc>
          <w:p>
            <w:pPr>
              <w:pStyle w:val="Compact"/>
              <w:jc w:val="right"/>
            </w:pPr>
            <w:r>
              <w:t xml:space="preserve">859</w:t>
            </w:r>
          </w:p>
        </w:tc>
        <w:tc>
          <w:p>
            <w:pPr>
              <w:pStyle w:val="Compact"/>
              <w:jc w:val="right"/>
            </w:pPr>
            <w:r>
              <w:t xml:space="preserve">1591</w:t>
            </w:r>
          </w:p>
        </w:tc>
        <w:tc>
          <w:p>
            <w:pPr>
              <w:pStyle w:val="Compact"/>
              <w:jc w:val="right"/>
            </w:pPr>
            <w:r>
              <w:t xml:space="preserve">1210</w:t>
            </w:r>
          </w:p>
        </w:tc>
        <w:tc>
          <w:p>
            <w:pPr>
              <w:pStyle w:val="Compact"/>
              <w:jc w:val="right"/>
            </w:pPr>
            <w:r>
              <w:t xml:space="preserve">122.773069</w:t>
            </w:r>
          </w:p>
        </w:tc>
        <w:tc>
          <w:p>
            <w:pPr>
              <w:pStyle w:val="Compact"/>
              <w:jc w:val="right"/>
            </w:pPr>
            <w:r>
              <w:t xml:space="preserve">0.1017996</w:t>
            </w:r>
          </w:p>
        </w:tc>
      </w:tr>
      <w:tr>
        <w:tc>
          <w:p>
            <w:pPr>
              <w:pStyle w:val="Compact"/>
              <w:jc w:val="left"/>
            </w:pPr>
            <w:r>
              <w:t xml:space="preserve">LB</w:t>
            </w:r>
          </w:p>
        </w:tc>
        <w:tc>
          <w:p>
            <w:pPr>
              <w:pStyle w:val="Compact"/>
              <w:jc w:val="left"/>
            </w:pPr>
            <w:r>
              <w:t xml:space="preserve">TLC4</w:t>
            </w:r>
          </w:p>
        </w:tc>
        <w:tc>
          <w:p>
            <w:pPr>
              <w:pStyle w:val="Compact"/>
              <w:jc w:val="right"/>
            </w:pPr>
            <w:r>
              <w:t xml:space="preserve">87</w:t>
            </w:r>
          </w:p>
        </w:tc>
        <w:tc>
          <w:p>
            <w:pPr>
              <w:pStyle w:val="Compact"/>
              <w:jc w:val="right"/>
            </w:pPr>
            <w:r>
              <w:t xml:space="preserve">24</w:t>
            </w:r>
          </w:p>
        </w:tc>
        <w:tc>
          <w:p>
            <w:pPr>
              <w:pStyle w:val="Compact"/>
              <w:jc w:val="right"/>
            </w:pPr>
            <w:r>
              <w:t xml:space="preserve">1273</w:t>
            </w:r>
          </w:p>
        </w:tc>
        <w:tc>
          <w:p>
            <w:pPr>
              <w:pStyle w:val="Compact"/>
              <w:jc w:val="right"/>
            </w:pPr>
            <w:r>
              <w:t xml:space="preserve">119</w:t>
            </w:r>
          </w:p>
        </w:tc>
        <w:tc>
          <w:p>
            <w:pPr>
              <w:pStyle w:val="Compact"/>
              <w:jc w:val="right"/>
            </w:pPr>
            <w:r>
              <w:t xml:space="preserve">956</w:t>
            </w:r>
          </w:p>
        </w:tc>
        <w:tc>
          <w:p>
            <w:pPr>
              <w:pStyle w:val="Compact"/>
              <w:jc w:val="right"/>
            </w:pPr>
            <w:r>
              <w:t xml:space="preserve">1466</w:t>
            </w:r>
          </w:p>
        </w:tc>
        <w:tc>
          <w:p>
            <w:pPr>
              <w:pStyle w:val="Compact"/>
              <w:jc w:val="right"/>
            </w:pPr>
            <w:r>
              <w:t xml:space="preserve">1262</w:t>
            </w:r>
          </w:p>
        </w:tc>
        <w:tc>
          <w:p>
            <w:pPr>
              <w:pStyle w:val="Compact"/>
              <w:jc w:val="right"/>
            </w:pPr>
            <w:r>
              <w:t xml:space="preserve">114.454203</w:t>
            </w:r>
          </w:p>
        </w:tc>
        <w:tc>
          <w:p>
            <w:pPr>
              <w:pStyle w:val="Compact"/>
              <w:jc w:val="right"/>
            </w:pPr>
            <w:r>
              <w:t xml:space="preserve">0.0898943</w:t>
            </w:r>
          </w:p>
        </w:tc>
      </w:tr>
      <w:tr>
        <w:tc>
          <w:p>
            <w:pPr>
              <w:pStyle w:val="Compact"/>
              <w:jc w:val="left"/>
            </w:pPr>
            <w:r>
              <w:t xml:space="preserve">LB</w:t>
            </w:r>
          </w:p>
        </w:tc>
        <w:tc>
          <w:p>
            <w:pPr>
              <w:pStyle w:val="Compact"/>
              <w:jc w:val="left"/>
            </w:pPr>
            <w:r>
              <w:t xml:space="preserve">TLS1</w:t>
            </w:r>
          </w:p>
        </w:tc>
        <w:tc>
          <w:p>
            <w:pPr>
              <w:pStyle w:val="Compact"/>
              <w:jc w:val="right"/>
            </w:pPr>
            <w:r>
              <w:t xml:space="preserve">87</w:t>
            </w:r>
          </w:p>
        </w:tc>
        <w:tc>
          <w:p>
            <w:pPr>
              <w:pStyle w:val="Compact"/>
              <w:jc w:val="right"/>
            </w:pPr>
            <w:r>
              <w:t xml:space="preserve">32</w:t>
            </w:r>
          </w:p>
        </w:tc>
        <w:tc>
          <w:p>
            <w:pPr>
              <w:pStyle w:val="Compact"/>
              <w:jc w:val="right"/>
            </w:pPr>
            <w:r>
              <w:t xml:space="preserve">1067</w:t>
            </w:r>
          </w:p>
        </w:tc>
        <w:tc>
          <w:p>
            <w:pPr>
              <w:pStyle w:val="Compact"/>
              <w:jc w:val="right"/>
            </w:pPr>
            <w:r>
              <w:t xml:space="preserve">21</w:t>
            </w:r>
          </w:p>
        </w:tc>
        <w:tc>
          <w:p>
            <w:pPr>
              <w:pStyle w:val="Compact"/>
              <w:jc w:val="right"/>
            </w:pPr>
            <w:r>
              <w:t xml:space="preserve">1015</w:t>
            </w:r>
          </w:p>
        </w:tc>
        <w:tc>
          <w:p>
            <w:pPr>
              <w:pStyle w:val="Compact"/>
              <w:jc w:val="right"/>
            </w:pPr>
            <w:r>
              <w:t xml:space="preserve">1101</w:t>
            </w:r>
          </w:p>
        </w:tc>
        <w:tc>
          <w:p>
            <w:pPr>
              <w:pStyle w:val="Compact"/>
              <w:jc w:val="right"/>
            </w:pPr>
            <w:r>
              <w:t xml:space="preserve">1063</w:t>
            </w:r>
          </w:p>
        </w:tc>
        <w:tc>
          <w:p>
            <w:pPr>
              <w:pStyle w:val="Compact"/>
              <w:jc w:val="right"/>
            </w:pPr>
            <w:r>
              <w:t xml:space="preserve">2598.001770</w:t>
            </w:r>
          </w:p>
        </w:tc>
        <w:tc>
          <w:p>
            <w:pPr>
              <w:pStyle w:val="Compact"/>
              <w:jc w:val="right"/>
            </w:pPr>
            <w:r>
              <w:t xml:space="preserve">2.4338678</w:t>
            </w:r>
          </w:p>
        </w:tc>
      </w:tr>
      <w:tr>
        <w:tc>
          <w:p>
            <w:pPr>
              <w:pStyle w:val="Compact"/>
              <w:jc w:val="left"/>
            </w:pPr>
            <w:r>
              <w:t xml:space="preserve">LB</w:t>
            </w:r>
          </w:p>
        </w:tc>
        <w:tc>
          <w:p>
            <w:pPr>
              <w:pStyle w:val="Compact"/>
              <w:jc w:val="left"/>
            </w:pPr>
            <w:r>
              <w:t xml:space="preserve">TLS2</w:t>
            </w:r>
          </w:p>
        </w:tc>
        <w:tc>
          <w:p>
            <w:pPr>
              <w:pStyle w:val="Compact"/>
              <w:jc w:val="right"/>
            </w:pPr>
            <w:r>
              <w:t xml:space="preserve">87</w:t>
            </w:r>
          </w:p>
        </w:tc>
        <w:tc>
          <w:p>
            <w:pPr>
              <w:pStyle w:val="Compact"/>
              <w:jc w:val="right"/>
            </w:pPr>
            <w:r>
              <w:t xml:space="preserve">381</w:t>
            </w:r>
          </w:p>
        </w:tc>
        <w:tc>
          <w:p>
            <w:pPr>
              <w:pStyle w:val="Compact"/>
              <w:jc w:val="right"/>
            </w:pPr>
            <w:r>
              <w:t xml:space="preserve">1147</w:t>
            </w:r>
          </w:p>
        </w:tc>
        <w:tc>
          <w:p>
            <w:pPr>
              <w:pStyle w:val="Compact"/>
              <w:jc w:val="right"/>
            </w:pPr>
            <w:r>
              <w:t xml:space="preserve">103</w:t>
            </w:r>
          </w:p>
        </w:tc>
        <w:tc>
          <w:p>
            <w:pPr>
              <w:pStyle w:val="Compact"/>
              <w:jc w:val="right"/>
            </w:pPr>
            <w:r>
              <w:t xml:space="preserve">838</w:t>
            </w:r>
          </w:p>
        </w:tc>
        <w:tc>
          <w:p>
            <w:pPr>
              <w:pStyle w:val="Compact"/>
              <w:jc w:val="right"/>
            </w:pPr>
            <w:r>
              <w:t xml:space="preserve">1419</w:t>
            </w:r>
          </w:p>
        </w:tc>
        <w:tc>
          <w:p>
            <w:pPr>
              <w:pStyle w:val="Compact"/>
              <w:jc w:val="right"/>
            </w:pPr>
            <w:r>
              <w:t xml:space="preserve">1145</w:t>
            </w:r>
          </w:p>
        </w:tc>
        <w:tc>
          <w:p>
            <w:pPr>
              <w:pStyle w:val="Compact"/>
              <w:jc w:val="right"/>
            </w:pPr>
            <w:r>
              <w:t xml:space="preserve">123.165495</w:t>
            </w:r>
          </w:p>
        </w:tc>
        <w:tc>
          <w:p>
            <w:pPr>
              <w:pStyle w:val="Compact"/>
              <w:jc w:val="right"/>
            </w:pPr>
            <w:r>
              <w:t xml:space="preserve">0.1073556</w:t>
            </w:r>
          </w:p>
        </w:tc>
      </w:tr>
      <w:tr>
        <w:tc>
          <w:p>
            <w:pPr>
              <w:pStyle w:val="Compact"/>
              <w:jc w:val="left"/>
            </w:pPr>
            <w:r>
              <w:t xml:space="preserve">LB</w:t>
            </w:r>
          </w:p>
        </w:tc>
        <w:tc>
          <w:p>
            <w:pPr>
              <w:pStyle w:val="Compact"/>
              <w:jc w:val="left"/>
            </w:pPr>
            <w:r>
              <w:t xml:space="preserve">TN</w:t>
            </w:r>
          </w:p>
        </w:tc>
        <w:tc>
          <w:p>
            <w:pPr>
              <w:pStyle w:val="Compact"/>
              <w:jc w:val="right"/>
            </w:pPr>
            <w:r>
              <w:t xml:space="preserve">65</w:t>
            </w:r>
          </w:p>
        </w:tc>
        <w:tc>
          <w:p>
            <w:pPr>
              <w:pStyle w:val="Compact"/>
              <w:jc w:val="right"/>
            </w:pPr>
            <w:r>
              <w:t xml:space="preserve">1072</w:t>
            </w:r>
          </w:p>
        </w:tc>
        <w:tc>
          <w:p>
            <w:pPr>
              <w:pStyle w:val="Compact"/>
              <w:jc w:val="right"/>
            </w:pPr>
            <w:r>
              <w:t xml:space="preserve">4</w:t>
            </w:r>
          </w:p>
        </w:tc>
        <w:tc>
          <w:p>
            <w:pPr>
              <w:pStyle w:val="Compact"/>
              <w:jc w:val="right"/>
            </w:pPr>
            <w:r>
              <w:t xml:space="preserve">3</w:t>
            </w:r>
          </w:p>
        </w:tc>
        <w:tc>
          <w:p>
            <w:pPr>
              <w:pStyle w:val="Compact"/>
              <w:jc w:val="right"/>
            </w:pPr>
            <w:r>
              <w:t xml:space="preserve">1</w:t>
            </w:r>
          </w:p>
        </w:tc>
        <w:tc>
          <w:p>
            <w:pPr>
              <w:pStyle w:val="Compact"/>
              <w:jc w:val="right"/>
            </w:pPr>
            <w:r>
              <w:t xml:space="preserve">69</w:t>
            </w:r>
          </w:p>
        </w:tc>
        <w:tc>
          <w:p>
            <w:pPr>
              <w:pStyle w:val="Compact"/>
              <w:jc w:val="right"/>
            </w:pPr>
            <w:r>
              <w:t xml:space="preserve">3</w:t>
            </w:r>
          </w:p>
        </w:tc>
        <w:tc>
          <w:p>
            <w:pPr>
              <w:pStyle w:val="Compact"/>
              <w:jc w:val="right"/>
            </w:pPr>
            <w:r>
              <w:t xml:space="preserve">2.568699</w:t>
            </w:r>
          </w:p>
        </w:tc>
        <w:tc>
          <w:p>
            <w:pPr>
              <w:pStyle w:val="Compact"/>
              <w:jc w:val="right"/>
            </w:pPr>
            <w:r>
              <w:t xml:space="preserve">0.6765714</w:t>
            </w:r>
          </w:p>
        </w:tc>
      </w:tr>
      <w:tr>
        <w:tc>
          <w:p>
            <w:pPr>
              <w:pStyle w:val="Compact"/>
              <w:jc w:val="left"/>
            </w:pPr>
            <w:r>
              <w:t xml:space="preserve">UB</w:t>
            </w:r>
          </w:p>
        </w:tc>
        <w:tc>
          <w:p>
            <w:pPr>
              <w:pStyle w:val="Compact"/>
              <w:jc w:val="left"/>
            </w:pPr>
            <w:r>
              <w:t xml:space="preserve">GN14</w:t>
            </w:r>
          </w:p>
        </w:tc>
        <w:tc>
          <w:p>
            <w:pPr>
              <w:pStyle w:val="Compact"/>
              <w:jc w:val="right"/>
            </w:pPr>
            <w:r>
              <w:t xml:space="preserve">18</w:t>
            </w:r>
          </w:p>
        </w:tc>
        <w:tc>
          <w:p>
            <w:pPr>
              <w:pStyle w:val="Compact"/>
              <w:jc w:val="right"/>
            </w:pPr>
            <w:r>
              <w:t xml:space="preserve">700</w:t>
            </w:r>
          </w:p>
        </w:tc>
        <w:tc>
          <w:p>
            <w:pPr>
              <w:pStyle w:val="Compact"/>
              <w:jc w:val="right"/>
            </w:pPr>
            <w:r>
              <w:t xml:space="preserve">1130</w:t>
            </w:r>
          </w:p>
        </w:tc>
        <w:tc>
          <w:p>
            <w:pPr>
              <w:pStyle w:val="Compact"/>
              <w:jc w:val="right"/>
            </w:pPr>
            <w:r>
              <w:t xml:space="preserve">183</w:t>
            </w:r>
          </w:p>
        </w:tc>
        <w:tc>
          <w:p>
            <w:pPr>
              <w:pStyle w:val="Compact"/>
              <w:jc w:val="right"/>
            </w:pPr>
            <w:r>
              <w:t xml:space="preserve">310</w:t>
            </w:r>
          </w:p>
        </w:tc>
        <w:tc>
          <w:p>
            <w:pPr>
              <w:pStyle w:val="Compact"/>
              <w:jc w:val="right"/>
            </w:pPr>
            <w:r>
              <w:t xml:space="preserve">1751</w:t>
            </w:r>
          </w:p>
        </w:tc>
        <w:tc>
          <w:p>
            <w:pPr>
              <w:pStyle w:val="Compact"/>
              <w:jc w:val="right"/>
            </w:pPr>
            <w:r>
              <w:t xml:space="preserve">1151</w:t>
            </w:r>
          </w:p>
        </w:tc>
        <w:tc>
          <w:p>
            <w:pPr>
              <w:pStyle w:val="Compact"/>
              <w:jc w:val="right"/>
            </w:pPr>
            <w:r>
              <w:t xml:space="preserve">29.735758</w:t>
            </w:r>
          </w:p>
        </w:tc>
        <w:tc>
          <w:p>
            <w:pPr>
              <w:pStyle w:val="Compact"/>
              <w:jc w:val="right"/>
            </w:pPr>
            <w:r>
              <w:t xml:space="preserve">0.0263068</w:t>
            </w:r>
          </w:p>
        </w:tc>
      </w:tr>
      <w:tr>
        <w:tc>
          <w:p>
            <w:pPr>
              <w:pStyle w:val="Compact"/>
              <w:jc w:val="left"/>
            </w:pPr>
            <w:r>
              <w:t xml:space="preserve">UB</w:t>
            </w:r>
          </w:p>
        </w:tc>
        <w:tc>
          <w:p>
            <w:pPr>
              <w:pStyle w:val="Compact"/>
              <w:jc w:val="left"/>
            </w:pPr>
            <w:r>
              <w:t xml:space="preserve">GN41</w:t>
            </w:r>
          </w:p>
        </w:tc>
        <w:tc>
          <w:p>
            <w:pPr>
              <w:pStyle w:val="Compact"/>
              <w:jc w:val="right"/>
            </w:pPr>
            <w:r>
              <w:t xml:space="preserve">18</w:t>
            </w:r>
          </w:p>
        </w:tc>
        <w:tc>
          <w:p>
            <w:pPr>
              <w:pStyle w:val="Compact"/>
              <w:jc w:val="right"/>
            </w:pPr>
            <w:r>
              <w:t xml:space="preserve">716</w:t>
            </w:r>
          </w:p>
        </w:tc>
        <w:tc>
          <w:p>
            <w:pPr>
              <w:pStyle w:val="Compact"/>
              <w:jc w:val="right"/>
            </w:pPr>
            <w:r>
              <w:t xml:space="preserve">1134</w:t>
            </w:r>
          </w:p>
        </w:tc>
        <w:tc>
          <w:p>
            <w:pPr>
              <w:pStyle w:val="Compact"/>
              <w:jc w:val="right"/>
            </w:pPr>
            <w:r>
              <w:t xml:space="preserve">183</w:t>
            </w:r>
          </w:p>
        </w:tc>
        <w:tc>
          <w:p>
            <w:pPr>
              <w:pStyle w:val="Compact"/>
              <w:jc w:val="right"/>
            </w:pPr>
            <w:r>
              <w:t xml:space="preserve">295</w:t>
            </w:r>
          </w:p>
        </w:tc>
        <w:tc>
          <w:p>
            <w:pPr>
              <w:pStyle w:val="Compact"/>
              <w:jc w:val="right"/>
            </w:pPr>
            <w:r>
              <w:t xml:space="preserve">1762</w:t>
            </w:r>
          </w:p>
        </w:tc>
        <w:tc>
          <w:p>
            <w:pPr>
              <w:pStyle w:val="Compact"/>
              <w:jc w:val="right"/>
            </w:pPr>
            <w:r>
              <w:t xml:space="preserve">1138</w:t>
            </w:r>
          </w:p>
        </w:tc>
        <w:tc>
          <w:p>
            <w:pPr>
              <w:pStyle w:val="Compact"/>
              <w:jc w:val="right"/>
            </w:pPr>
            <w:r>
              <w:t xml:space="preserve">30.634266</w:t>
            </w:r>
          </w:p>
        </w:tc>
        <w:tc>
          <w:p>
            <w:pPr>
              <w:pStyle w:val="Compact"/>
              <w:jc w:val="right"/>
            </w:pPr>
            <w:r>
              <w:t xml:space="preserve">0.0270084</w:t>
            </w:r>
          </w:p>
        </w:tc>
      </w:tr>
      <w:tr>
        <w:tc>
          <w:p>
            <w:pPr>
              <w:pStyle w:val="Compact"/>
              <w:jc w:val="left"/>
            </w:pPr>
            <w:r>
              <w:t xml:space="preserve">UB</w:t>
            </w:r>
          </w:p>
        </w:tc>
        <w:tc>
          <w:p>
            <w:pPr>
              <w:pStyle w:val="Compact"/>
              <w:jc w:val="left"/>
            </w:pPr>
            <w:r>
              <w:t xml:space="preserve">MF</w:t>
            </w:r>
          </w:p>
        </w:tc>
        <w:tc>
          <w:p>
            <w:pPr>
              <w:pStyle w:val="Compact"/>
              <w:jc w:val="right"/>
            </w:pPr>
            <w:r>
              <w:t xml:space="preserve">41</w:t>
            </w:r>
          </w:p>
        </w:tc>
        <w:tc>
          <w:p>
            <w:pPr>
              <w:pStyle w:val="Compact"/>
              <w:jc w:val="right"/>
            </w:pPr>
            <w:r>
              <w:t xml:space="preserve">4281</w:t>
            </w:r>
          </w:p>
        </w:tc>
        <w:tc>
          <w:p>
            <w:pPr>
              <w:pStyle w:val="Compact"/>
              <w:jc w:val="right"/>
            </w:pPr>
            <w:r>
              <w:t xml:space="preserve">1182</w:t>
            </w:r>
          </w:p>
        </w:tc>
        <w:tc>
          <w:p>
            <w:pPr>
              <w:pStyle w:val="Compact"/>
              <w:jc w:val="right"/>
            </w:pPr>
            <w:r>
              <w:t xml:space="preserve">142</w:t>
            </w:r>
          </w:p>
        </w:tc>
        <w:tc>
          <w:p>
            <w:pPr>
              <w:pStyle w:val="Compact"/>
              <w:jc w:val="right"/>
            </w:pPr>
            <w:r>
              <w:t xml:space="preserve">698</w:t>
            </w:r>
          </w:p>
        </w:tc>
        <w:tc>
          <w:p>
            <w:pPr>
              <w:pStyle w:val="Compact"/>
              <w:jc w:val="right"/>
            </w:pPr>
            <w:r>
              <w:t xml:space="preserve">1708</w:t>
            </w:r>
          </w:p>
        </w:tc>
        <w:tc>
          <w:p>
            <w:pPr>
              <w:pStyle w:val="Compact"/>
              <w:jc w:val="right"/>
            </w:pPr>
            <w:r>
              <w:t xml:space="preserve">1180</w:t>
            </w:r>
          </w:p>
        </w:tc>
        <w:tc>
          <w:p>
            <w:pPr>
              <w:pStyle w:val="Compact"/>
              <w:jc w:val="right"/>
            </w:pPr>
            <w:r>
              <w:t xml:space="preserve">69.168422</w:t>
            </w:r>
          </w:p>
        </w:tc>
        <w:tc>
          <w:p>
            <w:pPr>
              <w:pStyle w:val="Compact"/>
              <w:jc w:val="right"/>
            </w:pPr>
            <w:r>
              <w:t xml:space="preserve">0.0584990</w:t>
            </w:r>
          </w:p>
        </w:tc>
      </w:tr>
      <w:tr>
        <w:tc>
          <w:p>
            <w:pPr>
              <w:pStyle w:val="Compact"/>
              <w:jc w:val="left"/>
            </w:pPr>
            <w:r>
              <w:t xml:space="preserve">UB</w:t>
            </w:r>
          </w:p>
        </w:tc>
        <w:tc>
          <w:p>
            <w:pPr>
              <w:pStyle w:val="Compact"/>
              <w:jc w:val="left"/>
            </w:pPr>
            <w:r>
              <w:t xml:space="preserve">OT16</w:t>
            </w:r>
          </w:p>
        </w:tc>
        <w:tc>
          <w:p>
            <w:pPr>
              <w:pStyle w:val="Compact"/>
              <w:jc w:val="right"/>
            </w:pPr>
            <w:r>
              <w:t xml:space="preserve">52</w:t>
            </w:r>
          </w:p>
        </w:tc>
        <w:tc>
          <w:p>
            <w:pPr>
              <w:pStyle w:val="Compact"/>
              <w:jc w:val="right"/>
            </w:pPr>
            <w:r>
              <w:t xml:space="preserve">9081</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511</w:t>
            </w:r>
          </w:p>
        </w:tc>
        <w:tc>
          <w:p>
            <w:pPr>
              <w:pStyle w:val="Compact"/>
              <w:jc w:val="right"/>
            </w:pPr>
            <w:r>
              <w:t xml:space="preserve">4</w:t>
            </w:r>
          </w:p>
        </w:tc>
        <w:tc>
          <w:p>
            <w:pPr>
              <w:pStyle w:val="Compact"/>
              <w:jc w:val="right"/>
            </w:pPr>
            <w:r>
              <w:t xml:space="preserve">6.787978</w:t>
            </w:r>
          </w:p>
        </w:tc>
        <w:tc>
          <w:p>
            <w:pPr>
              <w:pStyle w:val="Compact"/>
              <w:jc w:val="right"/>
            </w:pPr>
            <w:r>
              <w:t xml:space="preserve">1.6706862</w:t>
            </w:r>
          </w:p>
        </w:tc>
      </w:tr>
      <w:tr>
        <w:tc>
          <w:p>
            <w:pPr>
              <w:pStyle w:val="Compact"/>
              <w:jc w:val="left"/>
            </w:pPr>
            <w:r>
              <w:t xml:space="preserve">UB</w:t>
            </w:r>
          </w:p>
        </w:tc>
        <w:tc>
          <w:p>
            <w:pPr>
              <w:pStyle w:val="Compact"/>
              <w:jc w:val="left"/>
            </w:pPr>
            <w:r>
              <w:t xml:space="preserve">TLC1</w:t>
            </w:r>
          </w:p>
        </w:tc>
        <w:tc>
          <w:p>
            <w:pPr>
              <w:pStyle w:val="Compact"/>
              <w:jc w:val="right"/>
            </w:pPr>
            <w:r>
              <w:t xml:space="preserve">87</w:t>
            </w:r>
          </w:p>
        </w:tc>
        <w:tc>
          <w:p>
            <w:pPr>
              <w:pStyle w:val="Compact"/>
              <w:jc w:val="right"/>
            </w:pPr>
            <w:r>
              <w:t xml:space="preserve">3616</w:t>
            </w:r>
          </w:p>
        </w:tc>
        <w:tc>
          <w:p>
            <w:pPr>
              <w:pStyle w:val="Compact"/>
              <w:jc w:val="right"/>
            </w:pPr>
            <w:r>
              <w:t xml:space="preserve">1120</w:t>
            </w:r>
          </w:p>
        </w:tc>
        <w:tc>
          <w:p>
            <w:pPr>
              <w:pStyle w:val="Compact"/>
              <w:jc w:val="right"/>
            </w:pPr>
            <w:r>
              <w:t xml:space="preserve">139</w:t>
            </w:r>
          </w:p>
        </w:tc>
        <w:tc>
          <w:p>
            <w:pPr>
              <w:pStyle w:val="Compact"/>
              <w:jc w:val="right"/>
            </w:pPr>
            <w:r>
              <w:t xml:space="preserve">755</w:t>
            </w:r>
          </w:p>
        </w:tc>
        <w:tc>
          <w:p>
            <w:pPr>
              <w:pStyle w:val="Compact"/>
              <w:jc w:val="right"/>
            </w:pPr>
            <w:r>
              <w:t xml:space="preserve">1615</w:t>
            </w:r>
          </w:p>
        </w:tc>
        <w:tc>
          <w:p>
            <w:pPr>
              <w:pStyle w:val="Compact"/>
              <w:jc w:val="right"/>
            </w:pPr>
            <w:r>
              <w:t xml:space="preserve">1119</w:t>
            </w:r>
          </w:p>
        </w:tc>
        <w:tc>
          <w:p>
            <w:pPr>
              <w:pStyle w:val="Compact"/>
              <w:jc w:val="right"/>
            </w:pPr>
            <w:r>
              <w:t xml:space="preserve">65.327401</w:t>
            </w:r>
          </w:p>
        </w:tc>
        <w:tc>
          <w:p>
            <w:pPr>
              <w:pStyle w:val="Compact"/>
              <w:jc w:val="right"/>
            </w:pPr>
            <w:r>
              <w:t xml:space="preserve">0.0583306</w:t>
            </w:r>
          </w:p>
        </w:tc>
      </w:tr>
      <w:tr>
        <w:tc>
          <w:p>
            <w:pPr>
              <w:pStyle w:val="Compact"/>
              <w:jc w:val="left"/>
            </w:pPr>
            <w:r>
              <w:t xml:space="preserve">UB</w:t>
            </w:r>
          </w:p>
        </w:tc>
        <w:tc>
          <w:p>
            <w:pPr>
              <w:pStyle w:val="Compact"/>
              <w:jc w:val="left"/>
            </w:pPr>
            <w:r>
              <w:t xml:space="preserve">TLC2</w:t>
            </w:r>
          </w:p>
        </w:tc>
        <w:tc>
          <w:p>
            <w:pPr>
              <w:pStyle w:val="Compact"/>
              <w:jc w:val="right"/>
            </w:pPr>
            <w:r>
              <w:t xml:space="preserve">87</w:t>
            </w:r>
          </w:p>
        </w:tc>
        <w:tc>
          <w:p>
            <w:pPr>
              <w:pStyle w:val="Compact"/>
              <w:jc w:val="right"/>
            </w:pPr>
            <w:r>
              <w:t xml:space="preserve">80</w:t>
            </w:r>
          </w:p>
        </w:tc>
        <w:tc>
          <w:p>
            <w:pPr>
              <w:pStyle w:val="Compact"/>
              <w:jc w:val="right"/>
            </w:pPr>
            <w:r>
              <w:t xml:space="preserve">1025</w:t>
            </w:r>
          </w:p>
        </w:tc>
        <w:tc>
          <w:p>
            <w:pPr>
              <w:pStyle w:val="Compact"/>
              <w:jc w:val="right"/>
            </w:pPr>
            <w:r>
              <w:t xml:space="preserve">150</w:t>
            </w:r>
          </w:p>
        </w:tc>
        <w:tc>
          <w:p>
            <w:pPr>
              <w:pStyle w:val="Compact"/>
              <w:jc w:val="right"/>
            </w:pPr>
            <w:r>
              <w:t xml:space="preserve">694</w:t>
            </w:r>
          </w:p>
        </w:tc>
        <w:tc>
          <w:p>
            <w:pPr>
              <w:pStyle w:val="Compact"/>
              <w:jc w:val="right"/>
            </w:pPr>
            <w:r>
              <w:t xml:space="preserve">1416</w:t>
            </w:r>
          </w:p>
        </w:tc>
        <w:tc>
          <w:p>
            <w:pPr>
              <w:pStyle w:val="Compact"/>
              <w:jc w:val="right"/>
            </w:pPr>
            <w:r>
              <w:t xml:space="preserve">994</w:t>
            </w:r>
          </w:p>
        </w:tc>
        <w:tc>
          <w:p>
            <w:pPr>
              <w:pStyle w:val="Compact"/>
              <w:jc w:val="right"/>
            </w:pPr>
            <w:r>
              <w:t xml:space="preserve">49.933263</w:t>
            </w:r>
          </w:p>
        </w:tc>
        <w:tc>
          <w:p>
            <w:pPr>
              <w:pStyle w:val="Compact"/>
              <w:jc w:val="right"/>
            </w:pPr>
            <w:r>
              <w:t xml:space="preserve">0.0486958</w:t>
            </w:r>
          </w:p>
        </w:tc>
      </w:tr>
      <w:tr>
        <w:tc>
          <w:p>
            <w:pPr>
              <w:pStyle w:val="Compact"/>
              <w:jc w:val="left"/>
            </w:pPr>
            <w:r>
              <w:t xml:space="preserve">UB</w:t>
            </w:r>
          </w:p>
        </w:tc>
        <w:tc>
          <w:p>
            <w:pPr>
              <w:pStyle w:val="Compact"/>
              <w:jc w:val="left"/>
            </w:pPr>
            <w:r>
              <w:t xml:space="preserve">TLO1</w:t>
            </w:r>
          </w:p>
        </w:tc>
        <w:tc>
          <w:p>
            <w:pPr>
              <w:pStyle w:val="Compact"/>
              <w:jc w:val="right"/>
            </w:pPr>
            <w:r>
              <w:t xml:space="preserve">87</w:t>
            </w:r>
          </w:p>
        </w:tc>
        <w:tc>
          <w:p>
            <w:pPr>
              <w:pStyle w:val="Compact"/>
              <w:jc w:val="right"/>
            </w:pPr>
            <w:r>
              <w:t xml:space="preserve">20</w:t>
            </w:r>
          </w:p>
        </w:tc>
        <w:tc>
          <w:p>
            <w:pPr>
              <w:pStyle w:val="Compact"/>
              <w:jc w:val="right"/>
            </w:pPr>
            <w:r>
              <w:t xml:space="preserve">999</w:t>
            </w:r>
          </w:p>
        </w:tc>
        <w:tc>
          <w:p>
            <w:pPr>
              <w:pStyle w:val="Compact"/>
              <w:jc w:val="right"/>
            </w:pPr>
            <w:r>
              <w:t xml:space="preserve">85</w:t>
            </w:r>
          </w:p>
        </w:tc>
        <w:tc>
          <w:p>
            <w:pPr>
              <w:pStyle w:val="Compact"/>
              <w:jc w:val="right"/>
            </w:pPr>
            <w:r>
              <w:t xml:space="preserve">824</w:t>
            </w:r>
          </w:p>
        </w:tc>
        <w:tc>
          <w:p>
            <w:pPr>
              <w:pStyle w:val="Compact"/>
              <w:jc w:val="right"/>
            </w:pPr>
            <w:r>
              <w:t xml:space="preserve">1100</w:t>
            </w:r>
          </w:p>
        </w:tc>
        <w:tc>
          <w:p>
            <w:pPr>
              <w:pStyle w:val="Compact"/>
              <w:jc w:val="right"/>
            </w:pPr>
            <w:r>
              <w:t xml:space="preserve">1029</w:t>
            </w:r>
          </w:p>
        </w:tc>
        <w:tc>
          <w:p>
            <w:pPr>
              <w:pStyle w:val="Compact"/>
              <w:jc w:val="right"/>
            </w:pPr>
            <w:r>
              <w:t xml:space="preserve">136.674723</w:t>
            </w:r>
          </w:p>
        </w:tc>
        <w:tc>
          <w:p>
            <w:pPr>
              <w:pStyle w:val="Compact"/>
              <w:jc w:val="right"/>
            </w:pPr>
            <w:r>
              <w:t xml:space="preserve">0.1367773</w:t>
            </w:r>
          </w:p>
        </w:tc>
      </w:tr>
      <w:tr>
        <w:tc>
          <w:p>
            <w:pPr>
              <w:pStyle w:val="Compact"/>
              <w:jc w:val="left"/>
            </w:pPr>
            <w:r>
              <w:t xml:space="preserve">UB</w:t>
            </w:r>
          </w:p>
        </w:tc>
        <w:tc>
          <w:p>
            <w:pPr>
              <w:pStyle w:val="Compact"/>
              <w:jc w:val="left"/>
            </w:pPr>
            <w:r>
              <w:t xml:space="preserve">TN</w:t>
            </w:r>
          </w:p>
        </w:tc>
        <w:tc>
          <w:p>
            <w:pPr>
              <w:pStyle w:val="Compact"/>
              <w:jc w:val="right"/>
            </w:pPr>
            <w:r>
              <w:t xml:space="preserve">65</w:t>
            </w:r>
          </w:p>
        </w:tc>
        <w:tc>
          <w:p>
            <w:pPr>
              <w:pStyle w:val="Compact"/>
              <w:jc w:val="right"/>
            </w:pPr>
            <w:r>
              <w:t xml:space="preserve">10915</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610</w:t>
            </w:r>
          </w:p>
        </w:tc>
        <w:tc>
          <w:p>
            <w:pPr>
              <w:pStyle w:val="Compact"/>
              <w:jc w:val="right"/>
            </w:pPr>
            <w:r>
              <w:t xml:space="preserve">6</w:t>
            </w:r>
          </w:p>
        </w:tc>
        <w:tc>
          <w:p>
            <w:pPr>
              <w:pStyle w:val="Compact"/>
              <w:jc w:val="right"/>
            </w:pPr>
            <w:r>
              <w:t xml:space="preserve">5.128287</w:t>
            </w:r>
          </w:p>
        </w:tc>
        <w:tc>
          <w:p>
            <w:pPr>
              <w:pStyle w:val="Compact"/>
              <w:jc w:val="right"/>
            </w:pPr>
            <w:r>
              <w:t xml:space="preserve">0.7734619</w:t>
            </w:r>
          </w:p>
        </w:tc>
      </w:tr>
    </w:tbl>
    <w:p>
      <w:pPr>
        <w:pStyle w:val="Heading1"/>
      </w:pPr>
      <w:bookmarkStart w:id="117" w:name="appendix"/>
      <w:bookmarkEnd w:id="117"/>
      <w:r>
        <w:t xml:space="preserve">Appendix</w:t>
      </w:r>
    </w:p>
    <w:p>
      <w:pPr>
        <w:pStyle w:val="Heading1"/>
      </w:pPr>
      <w:bookmarkStart w:id="118" w:name="references"/>
      <w:bookmarkEnd w:id="118"/>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PSPAP stakeholders are differentiated from MRRP stakeholders. PSPAP stakeholders are agencies, institutions, or individuals that have been actively involved in pallid sturgeon population assessments, or that regularly use the data from population assessments. MRRP stakeholders are groups with a stake in management of the Missouri River as represented on MRRIC.</w:t>
      </w:r>
    </w:p>
  </w:footnote>
  <w:footnote w:id="30">
    <w:p>
      <w:pPr>
        <w:pStyle w:val="FootnoteText"/>
      </w:pPr>
      <w:r>
        <w:rPr>
          <w:rStyle w:val="FootnoteReference"/>
        </w:rPr>
        <w:footnoteRef/>
      </w:r>
      <w:r>
        <w:t xml:space="preserve"> </w:t>
      </w:r>
      <w:r>
        <w:t xml:space="preserve">Basin refers to the upper basin mainstem rivers (Upper Missouri River and Yellowstone River) and lower basin mainstem rivers (Lower Missouri River downstream from Gavins Point Dam, potential tributaries, and the Middle Mississippi River to an unspecified extent downstream from the confluence with the Missouri River).</w:t>
      </w:r>
    </w:p>
  </w:footnote>
  <w:footnote w:id="5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1">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65">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7de3ef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c9217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222e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98" Target="media/rId98.jpg" /><Relationship Type="http://schemas.openxmlformats.org/officeDocument/2006/relationships/image" Id="rId100" Target="media/rId100.jpg" /><Relationship Type="http://schemas.openxmlformats.org/officeDocument/2006/relationships/image" Id="rId96" Target="media/rId96.jpg" /><Relationship Type="http://schemas.openxmlformats.org/officeDocument/2006/relationships/image" Id="rId94" Target="media/rId94.jpg" /><Relationship Type="http://schemas.openxmlformats.org/officeDocument/2006/relationships/image" Id="rId92" Target="media/rId92.jpg" /><Relationship Type="http://schemas.openxmlformats.org/officeDocument/2006/relationships/image" Id="rId90" Target="media/rId9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2018-02-02T16:23:01Z</dcterms:created>
  <dcterms:modified xsi:type="dcterms:W3CDTF">2018-02-02T16:23:01Z</dcterms:modified>
</cp:coreProperties>
</file>