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3.png" ContentType="image/png"/>
  <Override PartName="/word/media/rId84.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00.jpg" ContentType="image/jpeg"/>
  <Override PartName="/word/media/rId102.jpg" ContentType="image/jpeg"/>
  <Override PartName="/word/media/rId86.png" ContentType="image/png"/>
  <Override PartName="/word/media/rId87.png" ContentType="image/png"/>
  <Override PartName="/word/media/rId88.png" ContentType="image/png"/>
  <Override PartName="/word/media/rId98.jpg" ContentType="image/jpeg"/>
  <Override PartName="/word/media/rId96.jpg" ContentType="image/jpeg"/>
  <Override PartName="/word/media/rId94.jpg" ContentType="image/jpe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15</w:t>
      </w:r>
      <w:r>
        <w:t xml:space="preserve"> </w:t>
      </w:r>
      <w:r>
        <w:t xml:space="preserve">February,</w:t>
      </w:r>
      <w:r>
        <w:t xml:space="preserve"> </w:t>
      </w:r>
      <w:r>
        <w:t xml:space="preserve">2018</w:t>
      </w:r>
    </w:p>
    <w:p>
      <w:pPr>
        <w:pStyle w:val="FirstParagraph"/>
      </w:pPr>
      <w:hyperlink r:id="rId21">
        <w:r>
          <w:rPr>
            <w:rStyle w:val="Hyperlink"/>
          </w:rPr>
          <w:t xml:space="preserve">https://rpubs.com/ajlyons/autonumfigs</w:t>
        </w:r>
      </w:hyperlink>
      <w:r>
        <w:t xml:space="preserve"> </w:t>
      </w:r>
      <w:r>
        <w:t xml:space="preserve">rmarkdown::render("_Report-0-00-master-report.Rmd",output_format="word_document",output_file = paste(format(Sys.time(), '%Y%m%d%H%M'), "reboot-master-report.docx",sep="-"))# build page</w:t>
      </w:r>
    </w:p>
    <w:p>
      <w:pPr>
        <w:pStyle w:val="Heading1"/>
      </w:pPr>
      <w:bookmarkStart w:id="22" w:name="introduction"/>
      <w:bookmarkEnd w:id="22"/>
      <w:r>
        <w:t xml:space="preserve">Introduction</w:t>
      </w:r>
    </w:p>
    <w:p>
      <w:pPr>
        <w:pStyle w:val="Heading1"/>
      </w:pPr>
      <w:bookmarkStart w:id="23" w:name="evaluation-context-for-the-pspap-v.-2.0"/>
      <w:bookmarkEnd w:id="23"/>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4" w:name="initiation-of-pspap-v.-2.0-design"/>
      <w:bookmarkEnd w:id="24"/>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quantify recruitment to age-1 and</w:t>
      </w:r>
    </w:p>
    <w:p>
      <w:pPr>
        <w:pStyle w:val="Compact"/>
        <w:numPr>
          <w:numId w:val="1005"/>
          <w:ilvl w:val="0"/>
        </w:numPr>
      </w:pPr>
      <w:r>
        <w:t xml:space="preserve">quantify pallid sturgeon population trend and abundance.</w:t>
      </w:r>
    </w:p>
    <w:p>
      <w:pPr>
        <w:pStyle w:val="Heading1"/>
      </w:pPr>
      <w:bookmarkStart w:id="25" w:name="pspap-objectives"/>
      <w:bookmarkEnd w:id="25"/>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6" w:name="methods"/>
      <w:bookmarkEnd w:id="26"/>
      <w:r>
        <w:t xml:space="preserve">Methods</w:t>
      </w:r>
    </w:p>
    <w:p>
      <w:pPr>
        <w:pStyle w:val="Heading2"/>
      </w:pPr>
      <w:bookmarkStart w:id="27" w:name="methods-overview"/>
      <w:bookmarkEnd w:id="27"/>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5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8" w:name="eliciting-stakeholder-objectives"/>
      <w:bookmarkEnd w:id="28"/>
      <w:r>
        <w:t xml:space="preserve">Eliciting stakeholder objectives</w:t>
      </w:r>
    </w:p>
    <w:p>
      <w:pPr>
        <w:pStyle w:val="Heading3"/>
      </w:pPr>
      <w:bookmarkStart w:id="29" w:name="mrnrc-workshop"/>
      <w:bookmarkEnd w:id="29"/>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r>
        <w:t xml:space="preserve"> </w:t>
      </w:r>
      <w:r>
        <w:t xml:space="preserve">Nyberg et al. 2006, Conroy and Peterson 2013).</w:t>
      </w:r>
    </w:p>
    <w:p>
      <w:pPr>
        <w:pStyle w:val="Heading3"/>
      </w:pPr>
      <w:bookmarkStart w:id="30" w:name="objectives-hierarchy-and-attributes"/>
      <w:bookmarkEnd w:id="30"/>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1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Quantify PS recruitment to age-1 (Natural origin)</w:t>
      </w:r>
    </w:p>
    <w:p>
      <w:pPr>
        <w:pStyle w:val="Compact"/>
        <w:numPr>
          <w:numId w:val="1008"/>
          <w:ilvl w:val="1"/>
        </w:numPr>
      </w:pPr>
      <w:r>
        <w:t xml:space="preserve">Power to detect age-1 natural origin recruits if recruitment occurs</w:t>
      </w:r>
    </w:p>
    <w:p>
      <w:pPr>
        <w:pStyle w:val="Compact"/>
        <w:numPr>
          <w:numId w:val="1008"/>
          <w:ilvl w:val="1"/>
        </w:numPr>
      </w:pPr>
      <w:r>
        <w:t xml:space="preserve">Segment level age-1 abundance</w:t>
      </w:r>
      <w:r>
        <w:t xml:space="preserve"> </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8"/>
          <w:ilvl w:val="1"/>
        </w:numPr>
      </w:pPr>
      <w:r>
        <w:t xml:space="preserve">Estimate age-1 recruitment rate (natural origin)</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performance</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performance</w:t>
      </w:r>
    </w:p>
    <w:p>
      <w:pPr>
        <w:pStyle w:val="Compact"/>
        <w:numPr>
          <w:numId w:val="1007"/>
          <w:ilvl w:val="0"/>
        </w:numPr>
      </w:pPr>
      <w:r>
        <w:rPr>
          <w:b/>
        </w:rPr>
        <w:t xml:space="preserve">Provide relevant PS model inputs</w:t>
      </w:r>
    </w:p>
    <w:p>
      <w:pPr>
        <w:pStyle w:val="Compact"/>
        <w:numPr>
          <w:numId w:val="1014"/>
          <w:ilvl w:val="1"/>
        </w:numPr>
      </w:pPr>
      <w:r>
        <w:t xml:space="preserve">Estimate segment-level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spatial distribution</w:t>
      </w:r>
    </w:p>
    <w:p>
      <w:pPr>
        <w:pStyle w:val="Compact"/>
        <w:numPr>
          <w:numId w:val="1014"/>
          <w:ilvl w:val="1"/>
        </w:numPr>
      </w:pPr>
      <w:r>
        <w:t xml:space="preserve">Survival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4"/>
          <w:ilvl w:val="1"/>
        </w:numPr>
      </w:pPr>
      <w:r>
        <w:t xml:space="preserve">Fecundity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4"/>
          <w:ilvl w:val="1"/>
        </w:numPr>
      </w:pPr>
      <w:r>
        <w:t xml:space="preserve">Growth (RPMA)</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4"/>
          <w:ilvl w:val="1"/>
        </w:numPr>
      </w:pPr>
      <w:r>
        <w:t xml:space="preserve">Movement</w:t>
      </w:r>
    </w:p>
    <w:p>
      <w:pPr>
        <w:pStyle w:val="Compact"/>
        <w:numPr>
          <w:numId w:val="1019"/>
          <w:ilvl w:val="2"/>
        </w:numPr>
      </w:pPr>
      <w:r>
        <w:t xml:space="preserve">fidelity</w:t>
      </w:r>
    </w:p>
    <w:p>
      <w:pPr>
        <w:pStyle w:val="Compact"/>
        <w:numPr>
          <w:numId w:val="1019"/>
          <w:ilvl w:val="2"/>
        </w:numPr>
      </w:pPr>
      <w:r>
        <w:t xml:space="preserve">among segment movement</w:t>
      </w:r>
    </w:p>
    <w:p>
      <w:pPr>
        <w:pStyle w:val="Compact"/>
        <w:numPr>
          <w:numId w:val="1014"/>
          <w:ilvl w:val="1"/>
        </w:numPr>
      </w:pPr>
      <w:r>
        <w:t xml:space="preserve">Population structure and characteristics (segment level)</w:t>
      </w:r>
    </w:p>
    <w:p>
      <w:pPr>
        <w:pStyle w:val="Compact"/>
        <w:numPr>
          <w:numId w:val="1020"/>
          <w:ilvl w:val="2"/>
        </w:numPr>
      </w:pPr>
      <w:r>
        <w:t xml:space="preserve">Size structure</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14"/>
          <w:ilvl w:val="1"/>
        </w:numPr>
      </w:pPr>
      <w:r>
        <w:t xml:space="preserve">Sex ratio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07"/>
          <w:ilvl w:val="0"/>
        </w:numPr>
      </w:pPr>
      <w:r>
        <w:rPr>
          <w:b/>
        </w:rPr>
        <w:t xml:space="preserve">Maintain compatibility with legacy PSPAP data</w:t>
      </w:r>
      <w:r>
        <w:t xml:space="preserve"> </w:t>
      </w:r>
    </w:p>
    <w:p>
      <w:pPr>
        <w:pStyle w:val="Compact"/>
        <w:numPr>
          <w:numId w:val="1023"/>
          <w:ilvl w:val="1"/>
        </w:numPr>
      </w:pPr>
      <w:r>
        <w:t xml:space="preserve">Proportion of randomly selected bends within segment</w:t>
      </w:r>
    </w:p>
    <w:p>
      <w:pPr>
        <w:pStyle w:val="Compact"/>
        <w:numPr>
          <w:numId w:val="1023"/>
          <w:ilvl w:val="1"/>
        </w:numPr>
      </w:pPr>
      <w:r>
        <w:t xml:space="preserve">Gears similarity: proportion of standard gears used by design</w:t>
      </w:r>
    </w:p>
    <w:p>
      <w:pPr>
        <w:pStyle w:val="Compact"/>
        <w:numPr>
          <w:numId w:val="1023"/>
          <w:ilvl w:val="1"/>
        </w:numPr>
      </w:pPr>
      <w:r>
        <w:t xml:space="preserve">Effort similarity: deviation from average effort</w:t>
      </w:r>
    </w:p>
    <w:p>
      <w:pPr>
        <w:pStyle w:val="Compact"/>
        <w:numPr>
          <w:numId w:val="1007"/>
          <w:ilvl w:val="0"/>
        </w:numPr>
      </w:pPr>
      <w:r>
        <w:rPr>
          <w:b/>
        </w:rPr>
        <w:t xml:space="preserve">Stay below cost constraints</w:t>
      </w:r>
    </w:p>
    <w:p>
      <w:pPr>
        <w:pStyle w:val="Compact"/>
        <w:numPr>
          <w:numId w:val="1024"/>
          <w:ilvl w:val="1"/>
        </w:numPr>
      </w:pPr>
      <w:r>
        <w:t xml:space="preserve">Minimize costs</w:t>
      </w:r>
    </w:p>
    <w:p>
      <w:pPr>
        <w:pStyle w:val="Heading2"/>
      </w:pPr>
      <w:bookmarkStart w:id="31" w:name="generation-of-reference-populations-with-known-dynamics"/>
      <w:bookmarkEnd w:id="31"/>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2" w:name="objectives"/>
      <w:bookmarkEnd w:id="32"/>
      <w:r>
        <w:t xml:space="preserve">Objectives</w:t>
      </w:r>
    </w:p>
    <w:p>
      <w:pPr>
        <w:pStyle w:val="FirstParagraph"/>
      </w:pPr>
      <w:r>
        <w:t xml:space="preserve">The objectives of this simulation were to:</w:t>
      </w:r>
    </w:p>
    <w:p>
      <w:pPr>
        <w:pStyle w:val="Compact"/>
        <w:numPr>
          <w:numId w:val="1025"/>
          <w:ilvl w:val="0"/>
        </w:numPr>
      </w:pPr>
      <w:r>
        <w:t xml:space="preserve">Create a set of spatially explicit pallid sturgeon populations with</w:t>
      </w:r>
      <w:r>
        <w:t xml:space="preserve"> </w:t>
      </w:r>
      <w:r>
        <w:t xml:space="preserve">known bend-level annual abundances,</w:t>
      </w:r>
    </w:p>
    <w:p>
      <w:pPr>
        <w:pStyle w:val="Compact"/>
        <w:numPr>
          <w:numId w:val="1025"/>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5"/>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3" w:name="major-assumptions"/>
      <w:bookmarkEnd w:id="33"/>
      <w:r>
        <w:t xml:space="preserve">Major Assumptions</w:t>
      </w:r>
    </w:p>
    <w:p>
      <w:pPr>
        <w:pStyle w:val="Compact"/>
        <w:numPr>
          <w:numId w:val="1026"/>
          <w:ilvl w:val="0"/>
        </w:numPr>
      </w:pPr>
      <w:r>
        <w:t xml:space="preserve">Survival probability is homogeneous among all individuals and</w:t>
      </w:r>
      <w:r>
        <w:t xml:space="preserve"> </w:t>
      </w:r>
      <w:r>
        <w:t xml:space="preserve">independent of space and time.</w:t>
      </w:r>
    </w:p>
    <w:p>
      <w:pPr>
        <w:pStyle w:val="Compact"/>
        <w:numPr>
          <w:numId w:val="1026"/>
          <w:ilvl w:val="0"/>
        </w:numPr>
      </w:pPr>
      <w:r>
        <w:t xml:space="preserve">Individual fish growth follows a von Bertalanffy growth equation.</w:t>
      </w:r>
    </w:p>
    <w:p>
      <w:pPr>
        <w:pStyle w:val="Compact"/>
        <w:numPr>
          <w:numId w:val="1026"/>
          <w:ilvl w:val="0"/>
        </w:numPr>
      </w:pPr>
      <w:r>
        <w:t xml:space="preserve">There is no movement within years.</w:t>
      </w:r>
    </w:p>
    <w:p>
      <w:pPr>
        <w:pStyle w:val="Compact"/>
        <w:numPr>
          <w:numId w:val="1026"/>
          <w:ilvl w:val="0"/>
        </w:numPr>
      </w:pPr>
      <w:r>
        <w:t xml:space="preserve">Movement within a basin can occur between years.</w:t>
      </w:r>
    </w:p>
    <w:p>
      <w:pPr>
        <w:pStyle w:val="Compact"/>
        <w:numPr>
          <w:numId w:val="1026"/>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4" w:name="spatial-extent-and-grain"/>
      <w:bookmarkEnd w:id="34"/>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5" w:name="population-initialization"/>
      <w:bookmarkEnd w:id="35"/>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6" w:name="bend-abundance"/>
      <w:bookmarkEnd w:id="36"/>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7"/>
          <w:ilvl w:val="0"/>
        </w:numPr>
      </w:pPr>
      <m:oMath>
        <m:r>
          <m:t>N</m:t>
        </m:r>
      </m:oMath>
      <w:r>
        <w:t xml:space="preserve"> </w:t>
      </w:r>
      <w:r>
        <w:t xml:space="preserve">is the number of pallid sturgeon within each bend,</w:t>
      </w:r>
    </w:p>
    <w:p>
      <w:pPr>
        <w:pStyle w:val="Compact"/>
        <w:numPr>
          <w:numId w:val="1027"/>
          <w:ilvl w:val="0"/>
        </w:numPr>
      </w:pPr>
      <m:oMath>
        <m:r>
          <m:t>λ</m:t>
        </m:r>
      </m:oMath>
      <w:r>
        <w:t xml:space="preserve"> </w:t>
      </w:r>
      <w:r>
        <w:t xml:space="preserve">is the segment and origin specific density in fish per RKM,</w:t>
      </w:r>
    </w:p>
    <w:p>
      <w:pPr>
        <w:pStyle w:val="Compact"/>
        <w:numPr>
          <w:numId w:val="1027"/>
          <w:ilvl w:val="0"/>
        </w:numPr>
      </w:pPr>
      <m:oMath>
        <m:r>
          <m:t>l</m:t>
        </m:r>
      </m:oMath>
      <w:r>
        <w:t xml:space="preserve"> </w:t>
      </w:r>
      <w:r>
        <w:t xml:space="preserve">is bend length in RKM,</w:t>
      </w:r>
    </w:p>
    <w:p>
      <w:pPr>
        <w:pStyle w:val="Compact"/>
        <w:numPr>
          <w:numId w:val="1027"/>
          <w:ilvl w:val="0"/>
        </w:numPr>
      </w:pPr>
      <m:oMath>
        <m:r>
          <m:t>s</m:t>
        </m:r>
        <m:r>
          <m:t>e</m:t>
        </m:r>
        <m:r>
          <m:t>g</m:t>
        </m:r>
        <m:r>
          <m:t>m</m:t>
        </m:r>
        <m:r>
          <m:t>e</m:t>
        </m:r>
        <m:r>
          <m:t>n</m:t>
        </m:r>
        <m:r>
          <m:t>t</m:t>
        </m:r>
      </m:oMath>
      <w:r>
        <w:t xml:space="preserve"> </w:t>
      </w:r>
      <w:r>
        <w:t xml:space="preserve">indexes segment within universe,</w:t>
      </w:r>
    </w:p>
    <w:p>
      <w:pPr>
        <w:pStyle w:val="Compact"/>
        <w:numPr>
          <w:numId w:val="1027"/>
          <w:ilvl w:val="0"/>
        </w:numPr>
      </w:pPr>
      <m:oMath>
        <m:r>
          <m:t>b</m:t>
        </m:r>
        <m:r>
          <m:t>e</m:t>
        </m:r>
        <m:r>
          <m:t>n</m:t>
        </m:r>
        <m:r>
          <m:t>d</m:t>
        </m:r>
      </m:oMath>
      <w:r>
        <w:t xml:space="preserve"> </w:t>
      </w:r>
      <w:r>
        <w:t xml:space="preserve">indexes bend within segment, and</w:t>
      </w:r>
    </w:p>
    <w:p>
      <w:pPr>
        <w:pStyle w:val="Compact"/>
        <w:numPr>
          <w:numId w:val="1027"/>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8"/>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8"/>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8"/>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7" w:name="assigning-length-and-growth-parameters-to-individuals"/>
      <w:bookmarkEnd w:id="37"/>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8" w:name="simulating-annual-transitions"/>
      <w:bookmarkEnd w:id="38"/>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9" w:name="survival-growth"/>
      <w:bookmarkEnd w:id="39"/>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0" w:name="movement"/>
      <w:bookmarkEnd w:id="40"/>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1"/>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2" w:name="recruitment"/>
      <w:bookmarkEnd w:id="42"/>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3" w:name="summary"/>
      <w:bookmarkEnd w:id="43"/>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r>
        <w:t xml:space="preserve"> </w:t>
      </w:r>
      <w:r>
        <w:t xml:space="preserve">generalized from the collaborative pallid sturgeon population model</w:t>
      </w:r>
    </w:p>
    <w:p>
      <w:pPr>
        <w:pStyle w:val="Heading2"/>
      </w:pPr>
      <w:bookmarkStart w:id="44" w:name="estimation-of-population-metrics-given-alternative-monitoring-designs"/>
      <w:bookmarkEnd w:id="44"/>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population abundance and trend are key</w:t>
      </w:r>
      <w:r>
        <w:t xml:space="preserve"> </w:t>
      </w:r>
      <w:r>
        <w:t xml:space="preserve">to assessing both AM plan pallid sturgeon sub-objectives. Moreover, the</w:t>
      </w:r>
      <w:r>
        <w:t xml:space="preserve"> </w:t>
      </w:r>
      <w:r>
        <w:t xml:space="preserve">objective of the PSPAP redesign effort is to identify monitoring designs</w:t>
      </w:r>
      <w:r>
        <w:t xml:space="preserve"> </w:t>
      </w:r>
      <w:r>
        <w:t xml:space="preserve">(sampling designs and abundance and trend estimators) that will give</w:t>
      </w:r>
      <w:r>
        <w:t xml:space="preserve"> </w:t>
      </w:r>
      <w:r>
        <w:t xml:space="preserve">optimal estimates given budget constraints. Therefore, both the</w:t>
      </w:r>
      <w:r>
        <w:t xml:space="preserve"> </w:t>
      </w:r>
      <w:r>
        <w:t xml:space="preserve">generation and the assessment of abundance and trend estimates play a</w:t>
      </w:r>
      <w:r>
        <w:t xml:space="preserve"> </w:t>
      </w:r>
      <w:r>
        <w:t xml:space="preserve">key role in this analysis. Here we focus on the generation of the</w:t>
      </w:r>
      <w:r>
        <w:t xml:space="preserve"> </w:t>
      </w:r>
      <w:r>
        <w:t xml:space="preserve">abundance and trend estimates, i.e. the metrics for assessing the AM</w:t>
      </w:r>
      <w:r>
        <w:t xml:space="preserve"> </w:t>
      </w:r>
      <w:r>
        <w:t xml:space="preserve">sub-objectives, leaving the assessment of these estimates to the</w:t>
      </w:r>
      <w:r>
        <w:t xml:space="preserve"> </w:t>
      </w:r>
      <w:r>
        <w:t xml:space="preserve">following section.</w:t>
      </w:r>
    </w:p>
    <w:p>
      <w:pPr>
        <w:pStyle w:val="BodyText"/>
      </w:pPr>
      <w:r>
        <w:t xml:space="preserve">Generating abundance and trend estimates under a particular monitoring</w:t>
      </w:r>
      <w:r>
        <w:t xml:space="preserve"> </w:t>
      </w:r>
      <w:r>
        <w:t xml:space="preserve">design occurs in two steps:</w:t>
      </w:r>
    </w:p>
    <w:p>
      <w:pPr>
        <w:pStyle w:val="Compact"/>
        <w:numPr>
          <w:numId w:val="1029"/>
          <w:ilvl w:val="0"/>
        </w:numPr>
      </w:pPr>
      <w:r>
        <w:t xml:space="preserve">Simulate catch data using the sampling design prescribed by the</w:t>
      </w:r>
      <w:r>
        <w:t xml:space="preserve"> </w:t>
      </w:r>
      <w:r>
        <w:t xml:space="preserve">given monitoring program, and</w:t>
      </w:r>
    </w:p>
    <w:p>
      <w:pPr>
        <w:pStyle w:val="Compact"/>
        <w:numPr>
          <w:numId w:val="1029"/>
          <w:ilvl w:val="0"/>
        </w:numPr>
      </w:pPr>
      <w:r>
        <w:t xml:space="preserve">Calculate estimates from the catch data using the abundance and trend</w:t>
      </w:r>
      <w:r>
        <w:t xml:space="preserve"> </w:t>
      </w:r>
      <w:r>
        <w:t xml:space="preserve">estimators prescribed by the given monitoring program.</w:t>
      </w:r>
    </w:p>
    <w:p>
      <w:pPr>
        <w:pStyle w:val="FirstParagraph"/>
      </w:pPr>
      <w:r>
        <w:t xml:space="preserve">Since the simulation of catch data is stochastic and certain values</w:t>
      </w:r>
      <w:r>
        <w:t xml:space="preserve"> </w:t>
      </w:r>
      <w:r>
        <w:t xml:space="preserve">(e.g., catchability) are uncertain, these steps were repeated several</w:t>
      </w:r>
      <w:r>
        <w:t xml:space="preserve"> </w:t>
      </w:r>
      <w:r>
        <w:t xml:space="preserve">times for each monitoring design, generating a fuller picture of the</w:t>
      </w:r>
      <w:r>
        <w:t xml:space="preserve"> </w:t>
      </w:r>
      <w:r>
        <w:t xml:space="preserve">range of outcomes that can be expected under a particular monitoring</w:t>
      </w:r>
      <w:r>
        <w:t xml:space="preserve"> </w:t>
      </w:r>
      <w:r>
        <w:t xml:space="preserve">design.</w:t>
      </w:r>
    </w:p>
    <w:p>
      <w:pPr>
        <w:pStyle w:val="Heading3"/>
      </w:pPr>
      <w:bookmarkStart w:id="45" w:name="monitoring-designs-under-consideration"/>
      <w:bookmarkEnd w:id="45"/>
      <w:r>
        <w:t xml:space="preserve">Monitoring designs under consideration</w:t>
      </w:r>
    </w:p>
    <w:p>
      <w:pPr>
        <w:pStyle w:val="FirstParagraph"/>
      </w:pPr>
      <w:r>
        <w:t xml:space="preserve">Monitoring designs consisted of a suite of sampling and estimator</w:t>
      </w:r>
      <w:r>
        <w:t xml:space="preserve"> </w:t>
      </w:r>
      <w:r>
        <w:t xml:space="preserve">decisions (Figure ??). While we consider variations on current sampling</w:t>
      </w:r>
      <w:r>
        <w:t xml:space="preserve"> </w:t>
      </w:r>
      <w:r>
        <w:t xml:space="preserve">decisions, compatibility with existing PSPAP data can be achieved by</w:t>
      </w:r>
      <w:r>
        <w:t xml:space="preserve"> </w:t>
      </w:r>
      <w:r>
        <w:t xml:space="preserve">maintaining the existing sampling framework where each management unit</w:t>
      </w:r>
      <w:r>
        <w:t xml:space="preserve"> </w:t>
      </w:r>
      <w:r>
        <w:t xml:space="preserve">is divided into segments, river segments divided into bends, and habitat</w:t>
      </w:r>
      <w:r>
        <w:t xml:space="preserve"> </w:t>
      </w:r>
      <w:r>
        <w:t xml:space="preserve">units sampled with each bend. Additionally, continued use of current</w:t>
      </w:r>
      <w:r>
        <w:t xml:space="preserve"> </w:t>
      </w:r>
      <w:r>
        <w:t xml:space="preserve">PSPAP standard gear types defined in Welker et al. (2017), which have</w:t>
      </w:r>
      <w:r>
        <w:t xml:space="preserve"> </w:t>
      </w:r>
      <w:r>
        <w:t xml:space="preserve">been identified over the duration of the PSPAP to be effective, will</w:t>
      </w:r>
      <w:r>
        <w:t xml:space="preserve"> </w:t>
      </w:r>
      <w:r>
        <w:t xml:space="preserve">potentially maintain compatibility with existing PSPAP data. A</w:t>
      </w:r>
      <w:r>
        <w:t xml:space="preserve"> </w:t>
      </w:r>
      <w:r>
        <w:t xml:space="preserve">significant modification, however, will be required to estimate</w:t>
      </w:r>
      <w:r>
        <w:t xml:space="preserve"> </w:t>
      </w:r>
      <w:r>
        <w:t xml:space="preserve">population abundance. Specifically, the use of a capture-recapture</w:t>
      </w:r>
      <w:r>
        <w:t xml:space="preserve"> </w:t>
      </w:r>
      <w:r>
        <w:t xml:space="preserve">estimator to estimate demographic rates and abundance is considered.</w:t>
      </w:r>
    </w:p>
    <w:p>
      <w:pPr>
        <w:pStyle w:val="Heading4"/>
      </w:pPr>
      <w:bookmarkStart w:id="46" w:name="sampling-decisions"/>
      <w:bookmarkEnd w:id="46"/>
      <w:r>
        <w:t xml:space="preserve">Sampling Decisions</w:t>
      </w:r>
    </w:p>
    <w:p>
      <w:pPr>
        <w:pStyle w:val="Heading4"/>
      </w:pPr>
      <w:bookmarkStart w:id="47" w:name="estimator-decisions"/>
      <w:bookmarkEnd w:id="47"/>
      <w:r>
        <w:t xml:space="preserve">Estimator Decisions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year (primary occasions) allows</w:t>
      </w:r>
      <w:r>
        <w:t xml:space="preserve"> </w:t>
      </w:r>
      <w:r>
        <w:t xml:space="preserve">direct estimation of capture probability as well as abundance and</w:t>
      </w:r>
      <w:r>
        <w:t xml:space="preserve"> </w:t>
      </w:r>
      <w:r>
        <w:t xml:space="preserve">survival, which was described by Pollock (1982) and referred to as the</w:t>
      </w:r>
      <w:r>
        <w:t xml:space="preserve"> </w:t>
      </w:r>
      <w:r>
        <w:t xml:space="preserve">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0"/>
          <w:ilvl w:val="0"/>
        </w:numPr>
      </w:pPr>
      <w:r>
        <w:t xml:space="preserve">$</w:t>
      </w:r>
      <w:r>
        <w:t xml:space="preserve">$: the probability of surviving between primary occasions,</w:t>
      </w:r>
    </w:p>
    <w:p>
      <w:pPr>
        <w:pStyle w:val="Compact"/>
        <w:numPr>
          <w:numId w:val="1030"/>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0"/>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0"/>
          <w:ilvl w:val="0"/>
        </w:numPr>
      </w:pPr>
      <m:oMath>
        <m:r>
          <m:t>c</m:t>
        </m:r>
      </m:oMath>
      <w:r>
        <w:t xml:space="preserve"> </w:t>
      </w:r>
      <w:r>
        <w:t xml:space="preserve">is the initial capture probability</w:t>
      </w:r>
    </w:p>
    <w:p>
      <w:pPr>
        <w:pStyle w:val="Compact"/>
        <w:numPr>
          <w:numId w:val="1030"/>
          <w:ilvl w:val="0"/>
        </w:numPr>
      </w:pPr>
      <m:oMath>
        <m:r>
          <m:t>p</m:t>
        </m:r>
      </m:oMath>
      <w:r>
        <w:t xml:space="preserve"> </w:t>
      </w:r>
      <w:r>
        <w:t xml:space="preserve">is the recapture probability, and</w:t>
      </w:r>
    </w:p>
    <w:p>
      <w:pPr>
        <w:pStyle w:val="Compact"/>
        <w:numPr>
          <w:numId w:val="1030"/>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3"/>
      </w:pPr>
      <w:bookmarkStart w:id="48" w:name="simulating-catch-data"/>
      <w:bookmarkEnd w:id="48"/>
      <w:r>
        <w:t xml:space="preserve">Simulating catch data</w:t>
      </w:r>
    </w:p>
    <w:p>
      <w:pPr>
        <w:pStyle w:val="Heading4"/>
      </w:pPr>
      <w:bookmarkStart w:id="49" w:name="objectives-1"/>
      <w:bookmarkEnd w:id="49"/>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1"/>
          <w:ilvl w:val="0"/>
        </w:numPr>
      </w:pPr>
      <w:r>
        <w:t xml:space="preserve">Simulate 10 years of bend sampling data (i.e. which bends are sampled</w:t>
      </w:r>
      <w:r>
        <w:t xml:space="preserve"> </w:t>
      </w:r>
      <w:r>
        <w:t xml:space="preserve">during which years),</w:t>
      </w:r>
    </w:p>
    <w:p>
      <w:pPr>
        <w:pStyle w:val="Compact"/>
        <w:numPr>
          <w:numId w:val="1031"/>
          <w:ilvl w:val="0"/>
        </w:numPr>
      </w:pPr>
      <w:r>
        <w:t xml:space="preserve">Simulate 10 years of catch data using bends at the spatial scale,</w:t>
      </w:r>
    </w:p>
    <w:p>
      <w:pPr>
        <w:pStyle w:val="Compact"/>
        <w:numPr>
          <w:numId w:val="1031"/>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w:t>
      </w:r>
    </w:p>
    <w:p>
      <w:pPr>
        <w:pStyle w:val="Compact"/>
        <w:numPr>
          <w:numId w:val="1031"/>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1"/>
          <w:ilvl w:val="0"/>
        </w:numPr>
      </w:pPr>
      <w:r>
        <w:t xml:space="preserve">Simulate several catch data tables for each of the simulated</w:t>
      </w:r>
      <w:r>
        <w:t xml:space="preserve"> </w:t>
      </w:r>
      <w:r>
        <w:t xml:space="preserve">reference populations.</w:t>
      </w:r>
    </w:p>
    <w:p>
      <w:pPr>
        <w:pStyle w:val="Heading4"/>
      </w:pPr>
      <w:bookmarkStart w:id="50" w:name="major-assumptions-1"/>
      <w:bookmarkEnd w:id="50"/>
      <w:r>
        <w:t xml:space="preserve">Major Assumptions</w:t>
      </w:r>
    </w:p>
    <w:p>
      <w:pPr>
        <w:pStyle w:val="Compact"/>
        <w:numPr>
          <w:numId w:val="1032"/>
          <w:ilvl w:val="0"/>
        </w:numPr>
      </w:pPr>
      <w:r>
        <w:t xml:space="preserve">All fish can be uniquely identified.</w:t>
      </w:r>
      <w:r>
        <w:br w:type="textWrapping"/>
      </w:r>
    </w:p>
    <w:p>
      <w:pPr>
        <w:pStyle w:val="Compact"/>
        <w:numPr>
          <w:numId w:val="1032"/>
          <w:ilvl w:val="0"/>
        </w:numPr>
      </w:pPr>
      <w:r>
        <w:t xml:space="preserve">Fish ids are not lost or overlooked.</w:t>
      </w:r>
    </w:p>
    <w:p>
      <w:pPr>
        <w:pStyle w:val="Compact"/>
        <w:numPr>
          <w:numId w:val="1032"/>
          <w:ilvl w:val="0"/>
        </w:numPr>
      </w:pPr>
      <w:r>
        <w:t xml:space="preserve">The sampling protocol, given by the particular monitoring design, is</w:t>
      </w:r>
      <w:r>
        <w:t xml:space="preserve"> </w:t>
      </w:r>
      <w:r>
        <w:t xml:space="preserve">followed without exception.</w:t>
      </w:r>
    </w:p>
    <w:p>
      <w:pPr>
        <w:pStyle w:val="Compact"/>
        <w:numPr>
          <w:numId w:val="1032"/>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2"/>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51" w:name="process"/>
      <w:bookmarkEnd w:id="51"/>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52" w:name="bend-selection"/>
      <w:bookmarkEnd w:id="52"/>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53" w:name="individual-captures"/>
      <w:bookmarkEnd w:id="53"/>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4" w:name="effort-distributions"/>
      <w:bookmarkEnd w:id="54"/>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5"/>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6"/>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7" w:name="catchability-distributions"/>
      <w:bookmarkEnd w:id="57"/>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8" w:name="gear-selection-and-size-selectivity"/>
      <w:bookmarkEnd w:id="58"/>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9" w:name="individual-measurements"/>
      <w:bookmarkEnd w:id="59"/>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0"/>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3"/>
      </w:pPr>
      <w:bookmarkStart w:id="61" w:name="generating-abundance-and-trend-estimates"/>
      <w:bookmarkEnd w:id="61"/>
      <w:r>
        <w:t xml:space="preserve">Generating abundance and trend estimates</w:t>
      </w:r>
    </w:p>
    <w:p>
      <w:pPr>
        <w:pStyle w:val="Heading4"/>
      </w:pPr>
      <w:bookmarkStart w:id="62" w:name="objectives-2"/>
      <w:bookmarkEnd w:id="62"/>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3"/>
          <w:ilvl w:val="0"/>
        </w:numPr>
      </w:pPr>
      <w:r>
        <w:t xml:space="preserve">Generate an estimate of the average population trend over the 10-year</w:t>
      </w:r>
      <w:r>
        <w:t xml:space="preserve"> </w:t>
      </w:r>
      <w:r>
        <w:t xml:space="preserve">period by basin,</w:t>
      </w:r>
    </w:p>
    <w:p>
      <w:pPr>
        <w:pStyle w:val="Compact"/>
        <w:numPr>
          <w:numId w:val="1033"/>
          <w:ilvl w:val="0"/>
        </w:numPr>
      </w:pPr>
      <w:r>
        <w:t xml:space="preserve">Generate segment-level abundance estimates,</w:t>
      </w:r>
    </w:p>
    <w:p>
      <w:pPr>
        <w:pStyle w:val="Compact"/>
        <w:numPr>
          <w:numId w:val="1033"/>
          <w:ilvl w:val="0"/>
        </w:numPr>
      </w:pPr>
      <w:r>
        <w:t xml:space="preserve">Generate segment-level abundance estimates for each length class.</w:t>
      </w:r>
    </w:p>
    <w:p>
      <w:pPr>
        <w:pStyle w:val="Heading4"/>
      </w:pPr>
      <w:bookmarkStart w:id="63" w:name="major-assumptions-2"/>
      <w:bookmarkEnd w:id="63"/>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produce the reference populations (SECTION) and</w:t>
      </w:r>
      <w:r>
        <w:t xml:space="preserve"> </w:t>
      </w:r>
      <w:r>
        <w:t xml:space="preserve">simulated catch data (SECTION).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4"/>
      </w:pPr>
      <w:bookmarkStart w:id="64" w:name="scope-and-spatial-scale"/>
      <w:bookmarkEnd w:id="64"/>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monitory designs using the robust design estimator directly</w:t>
      </w:r>
      <w:r>
        <w:t xml:space="preserve"> </w:t>
      </w:r>
      <w:r>
        <w:t xml:space="preserve">estimated segment-level abundances.</w:t>
      </w:r>
    </w:p>
    <w:p>
      <w:pPr>
        <w:pStyle w:val="BodyText"/>
      </w:pPr>
      <w:r>
        <w:t xml:space="preserve">Applications of Capture-Recapture Robust Design to PSPAP</w:t>
      </w:r>
    </w:p>
    <w:p>
      <w:pPr>
        <w:pStyle w:val="BodyText"/>
      </w:pPr>
      <w:r>
        <w:t xml:space="preserve">The fundamental species objective identified by the USFWS for the pallid</w:t>
      </w:r>
      <w:r>
        <w:t xml:space="preserve"> </w:t>
      </w:r>
      <w:r>
        <w:t xml:space="preserve">sturgeon is: Avoid jeopardizing the continued existence of the pallid</w:t>
      </w:r>
      <w:r>
        <w:t xml:space="preserve"> </w:t>
      </w:r>
      <w:r>
        <w:t xml:space="preserve">sturgeon from the US Army Corps of Engineers actions on the Missouri</w:t>
      </w:r>
      <w:r>
        <w:t xml:space="preserve"> </w:t>
      </w:r>
      <w:r>
        <w:t xml:space="preserve">River. Means to achieve this fundamental objective included increasing</w:t>
      </w:r>
      <w:r>
        <w:t xml:space="preserve"> </w:t>
      </w:r>
      <w:r>
        <w:t xml:space="preserve">pallid sturgeon recruitment and maintaining or increasing current</w:t>
      </w:r>
      <w:r>
        <w:t xml:space="preserve"> </w:t>
      </w:r>
      <w:r>
        <w:t xml:space="preserve">population levels.</w:t>
      </w:r>
    </w:p>
    <w:p>
      <w:pPr>
        <w:pStyle w:val="BodyText"/>
      </w:pPr>
      <w:r>
        <w:t xml:space="preserve">The means to achieve the fundamental objective are specified as 2</w:t>
      </w:r>
      <w:r>
        <w:t xml:space="preserve"> </w:t>
      </w:r>
      <w:r>
        <w:t xml:space="preserve">sub-objectives with quantifiable metrics and targets as:</w:t>
      </w:r>
    </w:p>
    <w:p>
      <w:pPr>
        <w:numPr>
          <w:numId w:val="1034"/>
          <w:ilvl w:val="0"/>
        </w:numPr>
      </w:pPr>
      <w:r>
        <w:t xml:space="preserve">Increase pallid sturgeon recruitment to age 1</w:t>
      </w:r>
      <w:r>
        <w:t xml:space="preserve"> </w:t>
      </w:r>
      <w:r>
        <w:t xml:space="preserve">Metric: Catch rates of age 2 and 3 year-old pallid sturgeon.</w:t>
      </w:r>
      <w:r>
        <w:br w:type="textWrapping"/>
      </w:r>
      <w:r>
        <w:t xml:space="preserve">Target: Short-term: recruitment; long-term: projection from population</w:t>
      </w:r>
      <w:r>
        <w:t xml:space="preserve"> </w:t>
      </w:r>
      <w:r>
        <w:t xml:space="preserve">models of an annual egg to age-1 survival rate &gt; 0.03.</w:t>
      </w:r>
    </w:p>
    <w:p>
      <w:pPr>
        <w:numPr>
          <w:numId w:val="1034"/>
          <w:ilvl w:val="0"/>
        </w:numPr>
      </w:pPr>
      <w:r>
        <w:t xml:space="preserve">Maintain or increase numbers of pallid sturgeon until sufficient and</w:t>
      </w:r>
      <w:r>
        <w:t xml:space="preserve"> </w:t>
      </w:r>
      <w:r>
        <w:t xml:space="preserve">sustained natural recruitment occur.</w:t>
      </w:r>
    </w:p>
    <w:p>
      <w:pPr>
        <w:pStyle w:val="FirstParagraph"/>
      </w:pPr>
      <w:r>
        <w:t xml:space="preserve">Metric: Catch rate of all size classes</w:t>
      </w:r>
      <w:r>
        <w:t xml:space="preserve"> </w:t>
      </w:r>
      <w:r>
        <w:t xml:space="preserve">Target: Viable population size necessary to successfully overcome</w:t>
      </w:r>
      <w:r>
        <w:t xml:space="preserve"> </w:t>
      </w:r>
      <w:r>
        <w:t xml:space="preserve">recruitment bottleneck. Minimum of 5000 adults in each management unit.</w:t>
      </w:r>
    </w:p>
    <w:p>
      <w:pPr>
        <w:pStyle w:val="BodyText"/>
      </w:pPr>
      <w:r>
        <w:t xml:space="preserve">While a catch per unit effort based approach to population monitoring</w:t>
      </w:r>
      <w:r>
        <w:t xml:space="preserve"> </w:t>
      </w:r>
      <w:r>
        <w:t xml:space="preserve">may be used to calculate the metrics for sub-objective 1 and 2 it fails</w:t>
      </w:r>
      <w:r>
        <w:t xml:space="preserve"> </w:t>
      </w:r>
      <w:r>
        <w:t xml:space="preserve">to estimate sub-objective targets. Specifically, CPUE is a relative</w:t>
      </w:r>
      <w:r>
        <w:t xml:space="preserve"> </w:t>
      </w:r>
      <w:r>
        <w:t xml:space="preserve">index of population abundance and therefore it may document recruitment</w:t>
      </w:r>
      <w:r>
        <w:t xml:space="preserve"> </w:t>
      </w:r>
      <w:r>
        <w:t xml:space="preserve">if age-0 and age-1 pallid sturgeon are captured but it does not estimate</w:t>
      </w:r>
      <w:r>
        <w:t xml:space="preserve"> </w:t>
      </w:r>
      <w:r>
        <w:t xml:space="preserve">early life history survival rates. Absolute population estimates cannot</w:t>
      </w:r>
      <w:r>
        <w:t xml:space="preserve"> </w:t>
      </w:r>
      <w:r>
        <w:t xml:space="preserve">be achieved unless gear-specified catchability coefficient exists or can</w:t>
      </w:r>
      <w:r>
        <w:t xml:space="preserve"> </w:t>
      </w:r>
      <w:r>
        <w:t xml:space="preserve">be estimated to link catch and effort to predict abundance</w:t>
      </w:r>
      <w:r>
        <w:t xml:space="preserve"> </w:t>
      </w:r>
      <w:r>
        <w:t xml:space="preserve">as:</w:t>
      </w:r>
      <m:oMath>
        <m:r>
          <m:t>A</m:t>
        </m:r>
        <m:r>
          <m:t>b</m:t>
        </m:r>
        <m:r>
          <m:t>u</m:t>
        </m:r>
        <m:r>
          <m:t>n</m:t>
        </m:r>
        <m:r>
          <m:t>d</m:t>
        </m:r>
        <m:r>
          <m:t>a</m:t>
        </m:r>
        <m:r>
          <m:t>n</m:t>
        </m:r>
        <m:r>
          <m:t>c</m:t>
        </m:r>
        <m:r>
          <m:t>e</m:t>
        </m:r>
        <m:r>
          <m:t>=</m:t>
        </m:r>
        <m:r>
          <m:t>C</m:t>
        </m:r>
        <m:r>
          <m:t>a</m:t>
        </m:r>
        <m:r>
          <m:t>t</m:t>
        </m:r>
        <m:r>
          <m:t>c</m:t>
        </m:r>
        <m:r>
          <m:t>h</m:t>
        </m:r>
        <m:r>
          <m:t>⋅</m:t>
        </m:r>
        <m:r>
          <m:t>E</m:t>
        </m:r>
        <m:r>
          <m:t>f</m:t>
        </m:r>
        <m:r>
          <m:t>f</m:t>
        </m:r>
        <m:r>
          <m:t>o</m:t>
        </m:r>
        <m:r>
          <m:t>r</m:t>
        </m:r>
        <m:r>
          <m:t>t</m:t>
        </m:r>
        <m:r>
          <m:t>⋅</m:t>
        </m:r>
        <m:r>
          <m:t>C</m:t>
        </m:r>
        <m:r>
          <m:t>a</m:t>
        </m:r>
        <m:r>
          <m:t>t</m:t>
        </m:r>
        <m:r>
          <m:t>c</m:t>
        </m:r>
        <m:r>
          <m:t>h</m:t>
        </m:r>
        <m:r>
          <m:t>a</m:t>
        </m:r>
        <m:r>
          <m:t>b</m:t>
        </m:r>
        <m:r>
          <m:t>i</m:t>
        </m:r>
        <m:r>
          <m:t>l</m:t>
        </m:r>
        <m:r>
          <m:t>i</m:t>
        </m:r>
        <m:r>
          <m:t>t</m:t>
        </m:r>
        <m:r>
          <m:t>y</m:t>
        </m:r>
      </m:oMath>
      <w:r>
        <w:t xml:space="preserve">. Catchability</w:t>
      </w:r>
      <w:r>
        <w:t xml:space="preserve"> </w:t>
      </w:r>
      <w:r>
        <w:t xml:space="preserve">coefficients are difficult to estimate, unlikely to be constant (i.e.,</w:t>
      </w:r>
      <w:r>
        <w:t xml:space="preserve"> </w:t>
      </w:r>
      <w:r>
        <w:t xml:space="preserve">gear-specific catchability varies among habitat type, season, fish</w:t>
      </w:r>
      <w:r>
        <w:t xml:space="preserve"> </w:t>
      </w:r>
      <w:r>
        <w:t xml:space="preserve">species), and assumed to be constant across abundance levels.</w:t>
      </w:r>
      <w:r>
        <w:t xml:space="preserve"> </w:t>
      </w:r>
      <w:r>
        <w:t xml:space="preserve">Catchability assumptions have received some scrutiny through</w:t>
      </w:r>
      <w:r>
        <w:t xml:space="preserve"> </w:t>
      </w:r>
      <w:r>
        <w:t xml:space="preserve">meta-analysis of multiple fish stocks which suggest that fish stocks</w:t>
      </w:r>
      <w:r>
        <w:t xml:space="preserve"> </w:t>
      </w:r>
      <w:r>
        <w:t xml:space="preserve">exhibit a curvilinear relationship of catchability with abundance, most</w:t>
      </w:r>
      <w:r>
        <w:t xml:space="preserve"> </w:t>
      </w:r>
      <w:r>
        <w:t xml:space="preserve">commonly exhibiting a phenomenon known as hyperstability, where CPUE</w:t>
      </w:r>
      <w:r>
        <w:t xml:space="preserve"> </w:t>
      </w:r>
      <w:r>
        <w:t xml:space="preserve">remains while abundance declines (Harley et al. 2001). It should be</w:t>
      </w:r>
      <w:r>
        <w:t xml:space="preserve"> </w:t>
      </w:r>
      <w:r>
        <w:t xml:space="preserve">noted that gear-specific catchabilities have not been estimated for</w:t>
      </w:r>
      <w:r>
        <w:t xml:space="preserve"> </w:t>
      </w:r>
      <w:r>
        <w:t xml:space="preserve">pallid sturgeon. The consequences of violating CPUE assumptions are</w:t>
      </w:r>
      <w:r>
        <w:t xml:space="preserve"> </w:t>
      </w:r>
      <w:r>
        <w:t xml:space="preserve">uncertain. Despite this uncertainty, the CPUE based PSPAP has been</w:t>
      </w:r>
      <w:r>
        <w:t xml:space="preserve"> </w:t>
      </w:r>
      <w:r>
        <w:t xml:space="preserve">successful in achieving PSPAP objectives, however, modifications will be</w:t>
      </w:r>
      <w:r>
        <w:t xml:space="preserve"> </w:t>
      </w:r>
      <w:r>
        <w:t xml:space="preserve">needed to achieve sub-objective 1 and 2.</w:t>
      </w:r>
    </w:p>
    <w:p>
      <w:pPr>
        <w:pStyle w:val="BodyText"/>
      </w:pPr>
      <w:r>
        <w:t xml:space="preserve">Modifying the existing PSPAP program will ideally maintain a degree of</w:t>
      </w:r>
      <w:r>
        <w:t xml:space="preserve"> </w:t>
      </w:r>
      <w:r>
        <w:t xml:space="preserve">compatibility with existing data while providing population level</w:t>
      </w:r>
      <w:r>
        <w:t xml:space="preserve"> </w:t>
      </w:r>
      <w:r>
        <w:t xml:space="preserve">estimates of recruitment, trend, and abundance to achieve the metrics</w:t>
      </w:r>
      <w:r>
        <w:t xml:space="preserve"> </w:t>
      </w:r>
      <w:r>
        <w:t xml:space="preserve">and targets specified in sub-objectives 1 and 2. Compatibility with</w:t>
      </w:r>
      <w:r>
        <w:t xml:space="preserve"> </w:t>
      </w:r>
      <w:r>
        <w:t xml:space="preserve">existing PSPAP data can be achieved by maintaining the existing sampling</w:t>
      </w:r>
      <w:r>
        <w:t xml:space="preserve"> </w:t>
      </w:r>
      <w:r>
        <w:t xml:space="preserve">framework where each management unit is divided into segments, river</w:t>
      </w:r>
      <w:r>
        <w:t xml:space="preserve"> </w:t>
      </w:r>
      <w:r>
        <w:t xml:space="preserve">segments divided into bends, and habitat units sampled with each bend.</w:t>
      </w:r>
      <w:r>
        <w:t xml:space="preserve"> </w:t>
      </w:r>
      <w:r>
        <w:t xml:space="preserve">Additionally, continued use of current PSPAP standard gear types defined</w:t>
      </w:r>
      <w:r>
        <w:t xml:space="preserve"> </w:t>
      </w:r>
      <w:r>
        <w:t xml:space="preserve">in Welker et al. (2016), which have been identified over the duration of</w:t>
      </w:r>
      <w:r>
        <w:t xml:space="preserve"> </w:t>
      </w:r>
      <w:r>
        <w:t xml:space="preserve">the PSPAP to be effective, will potentially maintain compatibility with</w:t>
      </w:r>
      <w:r>
        <w:t xml:space="preserve"> </w:t>
      </w:r>
      <w:r>
        <w:t xml:space="preserve">existing PSPAP data. A significant modification will be required to</w:t>
      </w:r>
      <w:r>
        <w:t xml:space="preserve"> </w:t>
      </w:r>
      <w:r>
        <w:t xml:space="preserve">estimate population abundance, specifically the use of a</w:t>
      </w:r>
      <w:r>
        <w:t xml:space="preserve"> </w:t>
      </w:r>
      <w:r>
        <w:t xml:space="preserve">capture-recapture estimator to estimate demographic rates and abundance.</w:t>
      </w:r>
    </w:p>
    <w:p>
      <w:pPr>
        <w:pStyle w:val="BodyText"/>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occasion recapture</w:t>
      </w:r>
      <w:r>
        <w:t xml:space="preserve"> </w:t>
      </w:r>
      <w:r>
        <w:t xml:space="preserve">attempts required potentially unrealistic assumptions to estimate</w:t>
      </w:r>
      <w:r>
        <w:t xml:space="preserve"> </w:t>
      </w:r>
      <w:r>
        <w:t xml:space="preserve">capture probability. Some of these assumptions can be relaxed by</w:t>
      </w:r>
      <w:r>
        <w:t xml:space="preserve"> </w:t>
      </w:r>
      <w:r>
        <w:t xml:space="preserve">sophisticated model formulations or fitting the capture recapture model</w:t>
      </w:r>
      <w:r>
        <w:t xml:space="preserve"> </w:t>
      </w:r>
      <w:r>
        <w:t xml:space="preserve">as a Bayesian state space model, which has been done for pallid sturgeon</w:t>
      </w:r>
      <w:r>
        <w:t xml:space="preserve"> </w:t>
      </w:r>
      <w:r>
        <w:t xml:space="preserve">in the RPMA 4 by Wu and Holan (2016). Alternatively, using multiple</w:t>
      </w:r>
      <w:r>
        <w:t xml:space="preserve"> </w:t>
      </w:r>
      <w:r>
        <w:t xml:space="preserve">recapture efforts within a sampling occasion allows direct estimation of</w:t>
      </w:r>
      <w:r>
        <w:t xml:space="preserve"> </w:t>
      </w:r>
      <w:r>
        <w:t xml:space="preserve">capture probability as well as abundance and survival, which was</w:t>
      </w:r>
      <w:r>
        <w:t xml:space="preserve"> </w:t>
      </w:r>
      <w:r>
        <w:t xml:space="preserve">described by Pollock (1982) and referred to as the robust design.</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with secondary sampling occasions nested with</w:t>
      </w:r>
      <w:r>
        <w:t xml:space="preserve"> </w:t>
      </w:r>
      <w:r>
        <w:t xml:space="preserve">the primary sampling occasion (Figure 1). Primary occasions are spaced</w:t>
      </w:r>
      <w:r>
        <w:t xml:space="preserve"> </w:t>
      </w:r>
      <w:r>
        <w:t xml:space="preserve">temporally to capture processes like survival and growth. Secondary</w:t>
      </w:r>
      <w:r>
        <w:t xml:space="preserve"> </w:t>
      </w:r>
      <w:r>
        <w:t xml:space="preserve">occasions occur over a short time frame, short enough that closure of</w:t>
      </w:r>
      <w:r>
        <w:t xml:space="preserve"> </w:t>
      </w:r>
      <w:r>
        <w:t xml:space="preserve">the population from demographic processes (i.e., recruitment, mortality,</w:t>
      </w:r>
      <w:r>
        <w:t xml:space="preserve"> </w:t>
      </w:r>
      <w:r>
        <w:t xml:space="preserve">immigration, emigration) can be assumed. The secondary sampling</w:t>
      </w:r>
      <w:r>
        <w:t xml:space="preserve"> </w:t>
      </w:r>
      <w:r>
        <w:t xml:space="preserve">occasions provide multiple opportunities for individuals to be captured</w:t>
      </w:r>
      <w:r>
        <w:t xml:space="preserve"> </w:t>
      </w:r>
      <w:r>
        <w:t xml:space="preserve">and thereby allowing capture probability and abundance to be estimated.</w:t>
      </w:r>
    </w:p>
    <w:p>
      <w:pPr>
        <w:pStyle w:val="BodyText"/>
      </w:pPr>
      <w:r>
        <w:t xml:space="preserve">Application of robust design to Pallid Sturgeon</w:t>
      </w:r>
      <w:r>
        <w:t xml:space="preserve"> </w:t>
      </w: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Specific parameters estimated by the robust design</w:t>
      </w:r>
      <w:r>
        <w:t xml:space="preserve"> </w:t>
      </w:r>
      <w:r>
        <w:t xml:space="preserve">There are variations of the robust design that estimate varying</w:t>
      </w:r>
      <w:r>
        <w:t xml:space="preserve"> </w:t>
      </w:r>
      <w:r>
        <w:t xml:space="preserve">parameters. The most commonly used version, as well as the version used</w:t>
      </w:r>
      <w:r>
        <w:t xml:space="preserve"> </w:t>
      </w:r>
      <w:r>
        <w:t xml:space="preserve">by Steffensen et al. (2012) and Winders and Steffensen (2014) is the</w:t>
      </w:r>
      <w:r>
        <w:t xml:space="preserve"> </w:t>
      </w:r>
      <w:r>
        <w:t xml:space="preserve">version that estimates 6 parameters. Specifically these parameters are:</w:t>
      </w:r>
    </w:p>
    <w:p>
      <w:pPr>
        <w:pStyle w:val="Compact"/>
        <w:numPr>
          <w:numId w:val="1035"/>
          <w:ilvl w:val="0"/>
        </w:numPr>
      </w:pPr>
      <w:r>
        <w:t xml:space="preserve">$</w:t>
      </w:r>
      <w:r>
        <w:t xml:space="preserve">$: the probability of surviving between primary occasions,</w:t>
      </w:r>
    </w:p>
    <w:p>
      <w:pPr>
        <w:pStyle w:val="Compact"/>
        <w:numPr>
          <w:numId w:val="1035"/>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5"/>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5"/>
          <w:ilvl w:val="0"/>
        </w:numPr>
      </w:pPr>
      <m:oMath>
        <m:r>
          <m:t>c</m:t>
        </m:r>
      </m:oMath>
      <w:r>
        <w:t xml:space="preserve"> </w:t>
      </w:r>
      <w:r>
        <w:t xml:space="preserve">is the initial capture probability</w:t>
      </w:r>
    </w:p>
    <w:p>
      <w:pPr>
        <w:pStyle w:val="Compact"/>
        <w:numPr>
          <w:numId w:val="1035"/>
          <w:ilvl w:val="0"/>
        </w:numPr>
      </w:pPr>
      <m:oMath>
        <m:r>
          <m:t>p</m:t>
        </m:r>
      </m:oMath>
      <w:r>
        <w:t xml:space="preserve"> </w:t>
      </w:r>
      <w:r>
        <w:t xml:space="preserve">is the recapture probability, and</w:t>
      </w:r>
    </w:p>
    <w:p>
      <w:pPr>
        <w:pStyle w:val="Compact"/>
        <w:numPr>
          <w:numId w:val="1035"/>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parameter estimates derived</w:t>
      </w:r>
      <w:r>
        <w:t xml:space="preserve"> </w:t>
      </w:r>
      <w:r>
        <w:t xml:space="preserve">quantities can be estimated by profile likelihood and use of the delta</w:t>
      </w:r>
      <w:r>
        <w:t xml:space="preserve"> </w:t>
      </w:r>
      <w:r>
        <w:t xml:space="preserve">method if estimated by maximizing the likelihood of the model given the</w:t>
      </w:r>
      <w:r>
        <w:t xml:space="preserve"> </w:t>
      </w:r>
      <w:r>
        <w:t xml:space="preserve">data (Hilborn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Achieving sub-objective metrics and targets</w:t>
      </w:r>
    </w:p>
    <w:p>
      <w:pPr>
        <w:pStyle w:val="BodyText"/>
      </w:pPr>
      <w:r>
        <w:t xml:space="preserve">Recruitment</w:t>
      </w:r>
    </w:p>
    <w:p>
      <w:pPr>
        <w:pStyle w:val="BodyText"/>
      </w:pPr>
      <w:r>
        <w:t xml:space="preserve">When capture recapture histories are viewed in reverse order</w:t>
      </w:r>
      <w:r>
        <w:t xml:space="preserve"> </w:t>
      </w:r>
      <w:r>
        <w:t xml:space="preserve">recruitment can be estimated using what is referred to as a Pradel model</w:t>
      </w:r>
      <w:r>
        <w:t xml:space="preserve"> </w:t>
      </w:r>
      <w:r>
        <w:t xml:space="preserve">(Pradel 1996). This model relies on being able to differentiate recruits</w:t>
      </w:r>
      <w:r>
        <w:t xml:space="preserve"> </w:t>
      </w:r>
      <w:r>
        <w:t xml:space="preserve">based off of size or age which works well for fish populations.</w:t>
      </w:r>
      <w:r>
        <w:t xml:space="preserve"> </w:t>
      </w:r>
      <w:r>
        <w:t xml:space="preserve">Therefore there are 2 processes in which a pallid sturgeon can be</w:t>
      </w:r>
      <w:r>
        <w:t xml:space="preserve"> </w:t>
      </w:r>
      <w:r>
        <w:t xml:space="preserve">initially captured: 1) it is a new recruit and was not vulnerable to</w:t>
      </w:r>
      <w:r>
        <w:t xml:space="preserve"> </w:t>
      </w:r>
      <w:r>
        <w:t xml:space="preserve">capture and 2) the pallid sturgeon was vulnerable to capture but not</w:t>
      </w:r>
      <w:r>
        <w:t xml:space="preserve"> </w:t>
      </w:r>
      <w:r>
        <w:t xml:space="preserve">captured. The differentiating the 2 outcomes can be informed by size to</w:t>
      </w:r>
      <w:r>
        <w:t xml:space="preserve"> </w:t>
      </w:r>
      <w:r>
        <w:t xml:space="preserve">improve recruitment estimates.</w:t>
      </w:r>
    </w:p>
    <w:p>
      <w:pPr>
        <w:pStyle w:val="BodyText"/>
      </w:pPr>
      <w:r>
        <w:t xml:space="preserve">Trend</w:t>
      </w:r>
    </w:p>
    <w:p>
      <w:pPr>
        <w:pStyle w:val="BodyText"/>
      </w:pPr>
      <w:r>
        <w:t xml:space="preserve">While not commonly employed in fisheries literature the robust design</w:t>
      </w:r>
      <w:r>
        <w:t xml:space="preserve"> </w:t>
      </w:r>
      <w:r>
        <w:t xml:space="preserve">can estimate population growth rate (</w:t>
      </w:r>
      <m:oMath>
        <m:r>
          <m:t>λ</m:t>
        </m:r>
      </m:oMath>
      <w:r>
        <w:t xml:space="preserve">). In particular, by</w:t>
      </w:r>
      <w:r>
        <w:t xml:space="preserve"> </w:t>
      </w:r>
      <w:r>
        <w:t xml:space="preserve">running capture histories backwards estimates the probability a pallid</w:t>
      </w:r>
      <w:r>
        <w:t xml:space="preserve"> </w:t>
      </w:r>
      <w:r>
        <w:t xml:space="preserve">sturgeon was present in the previous year given it was present in the</w:t>
      </w:r>
      <w:r>
        <w:t xml:space="preserve"> </w:t>
      </w:r>
      <w:r>
        <w:t xml:space="preserve">current year which is the per capita rate of additions to the population</w:t>
      </w:r>
      <w:r>
        <w:t xml:space="preserve"> </w:t>
      </w:r>
      <w:r>
        <w:t xml:space="preserve">(</w:t>
      </w:r>
      <m:oMath>
        <m:r>
          <m:t>f</m:t>
        </m:r>
      </m:oMath>
      <w:r>
        <w:t xml:space="preserve">), or the number of individuals entering the population between</w:t>
      </w:r>
      <w:r>
        <w:t xml:space="preserve"> </w:t>
      </w:r>
      <w:r>
        <w:t xml:space="preserve">primary occasions. Survival rate ($</w:t>
      </w:r>
      <m:oMath>
        <m:r>
          <m:t>)</m:t>
        </m:r>
        <m:r>
          <m:t>c</m:t>
        </m:r>
        <m:r>
          <m:t>a</m:t>
        </m:r>
        <m:r>
          <m:t>n</m:t>
        </m:r>
        <m:r>
          <m:t>b</m:t>
        </m:r>
        <m:r>
          <m:t>e</m:t>
        </m:r>
        <m:r>
          <m:t>e</m:t>
        </m:r>
        <m:r>
          <m:t>s</m:t>
        </m:r>
        <m:r>
          <m:t>t</m:t>
        </m:r>
        <m:r>
          <m:t>i</m:t>
        </m:r>
        <m:r>
          <m:t>m</m:t>
        </m:r>
        <m:r>
          <m:t>a</m:t>
        </m:r>
        <m:r>
          <m:t>t</m:t>
        </m:r>
        <m:r>
          <m:t>e</m:t>
        </m:r>
        <m:r>
          <m:t>d</m:t>
        </m:r>
        <m:r>
          <m:t>,</m:t>
        </m:r>
        <m:r>
          <m:t>a</m:t>
        </m:r>
        <m:r>
          <m:t>n</m:t>
        </m:r>
        <m:r>
          <m:t>d</m:t>
        </m:r>
        <m:r>
          <m:t>b</m:t>
        </m:r>
        <m:r>
          <m:t>y</m:t>
        </m:r>
        <m:r>
          <m:t>r</m:t>
        </m:r>
        <m:r>
          <m:t>u</m:t>
        </m:r>
        <m:r>
          <m:t>n</m:t>
        </m:r>
        <m:r>
          <m:t>n</m:t>
        </m:r>
        <m:r>
          <m:t>i</m:t>
        </m:r>
        <m:r>
          <m:t>n</m:t>
        </m:r>
        <m:r>
          <m:t>g</m:t>
        </m:r>
        <m:r>
          <m:t>t</m:t>
        </m:r>
        <m:r>
          <m:t>h</m:t>
        </m:r>
        <m:r>
          <m:t>e</m:t>
        </m:r>
        <m:r>
          <m:t>m</m:t>
        </m:r>
        <m:r>
          <m:t>f</m:t>
        </m:r>
        <m:r>
          <m:t>o</m:t>
        </m:r>
        <m:r>
          <m:t>r</m:t>
        </m:r>
        <m:r>
          <m:t>w</m:t>
        </m:r>
        <m:r>
          <m:t>a</m:t>
        </m:r>
        <m:r>
          <m:t>r</m:t>
        </m:r>
        <m:r>
          <m:t>d</m:t>
        </m:r>
        <m:r>
          <m:t>,</m:t>
        </m:r>
        <m:r>
          <m:t>s</m:t>
        </m:r>
        <m:r>
          <m:t>u</m:t>
        </m:r>
        <m:r>
          <m:t>r</m:t>
        </m:r>
        <m:r>
          <m:t>v</m:t>
        </m:r>
        <m:r>
          <m:t>i</m:t>
        </m:r>
        <m:r>
          <m:t>v</m:t>
        </m:r>
        <m:r>
          <m:t>a</m:t>
        </m:r>
        <m:r>
          <m:t>l</m:t>
        </m:r>
        <m:r>
          <m:t>c</m:t>
        </m:r>
        <m:r>
          <m:t>a</m:t>
        </m:r>
        <m:r>
          <m:t>n</m:t>
        </m:r>
        <m:r>
          <m:t>b</m:t>
        </m:r>
        <m:r>
          <m:t>e</m:t>
        </m:r>
        <m:r>
          <m:t>e</m:t>
        </m:r>
        <m:r>
          <m:t>s</m:t>
        </m:r>
        <m:r>
          <m:t>t</m:t>
        </m:r>
        <m:r>
          <m:t>i</m:t>
        </m:r>
        <m:r>
          <m:t>m</m:t>
        </m:r>
        <m:r>
          <m:t>a</m:t>
        </m:r>
        <m:r>
          <m:t>t</m:t>
        </m:r>
        <m:r>
          <m:t>e</m:t>
        </m:r>
        <m:r>
          <m:t>d</m:t>
        </m:r>
        <m:r>
          <m:t>.</m:t>
        </m:r>
        <m:r>
          <m:t>T</m:t>
        </m:r>
        <m:r>
          <m:t>r</m:t>
        </m:r>
        <m:r>
          <m:t>e</m:t>
        </m:r>
        <m:r>
          <m:t>n</m:t>
        </m:r>
        <m:r>
          <m:t>d</m:t>
        </m:r>
        <m:r>
          <m:t>e</m:t>
        </m:r>
        <m:r>
          <m:t>v</m:t>
        </m:r>
        <m:r>
          <m:t>a</m:t>
        </m:r>
        <m:r>
          <m:t>l</m:t>
        </m:r>
        <m:r>
          <m:t>u</m:t>
        </m:r>
        <m:r>
          <m:t>a</m:t>
        </m:r>
        <m:r>
          <m:t>t</m:t>
        </m:r>
        <m:r>
          <m:t>e</m:t>
        </m:r>
        <m:r>
          <m:t>d</m:t>
        </m:r>
        <m:r>
          <m:t>a</m:t>
        </m:r>
        <m:r>
          <m:t>s</m:t>
        </m:r>
        <m:r>
          <m:t>p</m:t>
        </m:r>
        <m:r>
          <m:t>o</m:t>
        </m:r>
        <m:r>
          <m:t>p</m:t>
        </m:r>
        <m:r>
          <m:t>u</m:t>
        </m:r>
        <m:r>
          <m:t>l</m:t>
        </m:r>
        <m:r>
          <m:t>a</m:t>
        </m:r>
        <m:r>
          <m:t>t</m:t>
        </m:r>
        <m:r>
          <m:t>i</m:t>
        </m:r>
        <m:r>
          <m:t>o</m:t>
        </m:r>
        <m:r>
          <m:t>n</m:t>
        </m:r>
        <m:r>
          <m:t>g</m:t>
        </m:r>
        <m:r>
          <m:t>r</m:t>
        </m:r>
        <m:r>
          <m:t>o</m:t>
        </m:r>
        <m:r>
          <m:t>w</m:t>
        </m:r>
        <m:r>
          <m:t>t</m:t>
        </m:r>
        <m:r>
          <m:t>h</m:t>
        </m:r>
        <m:r>
          <m:t>r</m:t>
        </m:r>
        <m:r>
          <m:t>a</m:t>
        </m:r>
        <m:r>
          <m:t>t</m:t>
        </m:r>
        <m:r>
          <m:t>e</m:t>
        </m:r>
        <m:r>
          <m:t>i</m:t>
        </m:r>
        <m:r>
          <m:t>s</m:t>
        </m:r>
        <m:r>
          <m:t>d</m:t>
        </m:r>
        <m:r>
          <m:t>e</m:t>
        </m:r>
        <m:r>
          <m:t>r</m:t>
        </m:r>
        <m:r>
          <m:t>i</m:t>
        </m:r>
        <m:r>
          <m:t>v</m:t>
        </m:r>
        <m:r>
          <m:t>e</m:t>
        </m:r>
        <m:r>
          <m:t>d</m:t>
        </m:r>
        <m:r>
          <m:t>f</m:t>
        </m:r>
        <m:r>
          <m:t>r</m:t>
        </m:r>
        <m:r>
          <m:t>o</m:t>
        </m:r>
        <m:r>
          <m:t>m</m:t>
        </m:r>
        <m:r>
          <m:t>m</m:t>
        </m:r>
        <m:r>
          <m:t>o</m:t>
        </m:r>
        <m:r>
          <m:t>d</m:t>
        </m:r>
        <m:r>
          <m:t>e</m:t>
        </m:r>
        <m:r>
          <m:t>l</m:t>
        </m:r>
        <m:r>
          <m:t>e</m:t>
        </m:r>
        <m:r>
          <m:t>s</m:t>
        </m:r>
        <m:r>
          <m:t>t</m:t>
        </m:r>
        <m:r>
          <m:t>i</m:t>
        </m:r>
        <m:r>
          <m:t>m</m:t>
        </m:r>
        <m:r>
          <m:t>a</m:t>
        </m:r>
        <m:r>
          <m:t>t</m:t>
        </m:r>
        <m:r>
          <m:t>e</m:t>
        </m:r>
        <m:r>
          <m:t>s</m:t>
        </m:r>
        <m:r>
          <m:t>a</m:t>
        </m:r>
        <m:r>
          <m:t>s</m:t>
        </m:r>
      </m:oMath>
      <w:r>
        <w:t xml:space="preserve"> </w:t>
      </w:r>
      <w:r>
        <w:t xml:space="preserve">=</w:t>
      </w:r>
      <w:r>
        <w:t xml:space="preserve">f$ and uncertainty can be estimated using the</w:t>
      </w:r>
      <w:r>
        <w:t xml:space="preserve"> </w:t>
      </w:r>
      <w:r>
        <w:t xml:space="preserve">previously described approaches for</w:t>
      </w:r>
      <m:oMath>
        <m:r>
          <m:t>N</m:t>
        </m:r>
      </m:oMath>
      <w:r>
        <w:t xml:space="preserve">.</w:t>
      </w:r>
    </w:p>
    <w:p>
      <w:pPr>
        <w:pStyle w:val="BodyText"/>
      </w:pPr>
      <w:r>
        <w:t xml:space="preserve">Abundance</w:t>
      </w:r>
    </w:p>
    <w:p>
      <w:pPr>
        <w:pStyle w:val="BodyText"/>
      </w:pPr>
      <w:r>
        <w:t xml:space="preserve">Absolute abundance estimates are important to ongoing adaptive</w:t>
      </w:r>
      <w:r>
        <w:t xml:space="preserve"> </w:t>
      </w:r>
      <w:r>
        <w:t xml:space="preserve">management and recovery because species recovery sub-objective 2 is</w:t>
      </w:r>
      <w:r>
        <w:t xml:space="preserve"> </w:t>
      </w:r>
      <w:r>
        <w:t xml:space="preserve">specified as abundance. The robust design for capture recapture provides</w:t>
      </w:r>
      <w:r>
        <w:t xml:space="preserve"> </w:t>
      </w:r>
      <w:r>
        <w:t xml:space="preserve">the necessary within primary occasion replication to reliably estimate</w:t>
      </w:r>
      <w:r>
        <w:t xml:space="preserve"> </w:t>
      </w:r>
      <w:r>
        <w:t xml:space="preserve">capture probabilities (</w:t>
      </w:r>
      <m:oMath>
        <m:r>
          <m:t>c</m:t>
        </m:r>
        <m:r>
          <m:t>,</m:t>
        </m:r>
        <m:r>
          <m:t>p</m:t>
        </m:r>
      </m:oMath>
      <w:r>
        <w:t xml:space="preserve">) and then estimate</w:t>
      </w:r>
      <w:r>
        <w:t xml:space="preserve"> </w:t>
      </w:r>
      <m:oMath>
        <m:r>
          <m:t>N</m:t>
        </m:r>
      </m:oMath>
      <w:r>
        <w:t xml:space="preserve"> </w:t>
      </w:r>
      <w:r>
        <w:t xml:space="preserve">given the number of</w:t>
      </w:r>
      <w:r>
        <w:t xml:space="preserve"> </w:t>
      </w:r>
      <w:r>
        <w:t xml:space="preserve">fish captured and the capture probability. Given that the capture</w:t>
      </w:r>
      <w:r>
        <w:t xml:space="preserve"> </w:t>
      </w:r>
      <w:r>
        <w:t xml:space="preserve">recapture design is potentially using 2 or more temporal replicates</w:t>
      </w:r>
      <w:r>
        <w:t xml:space="preserve"> </w:t>
      </w:r>
      <w:r>
        <w:t xml:space="preserve">within each bend then unadjusted catch numbers may be comparable to</w:t>
      </w:r>
      <w:r>
        <w:t xml:space="preserve"> </w:t>
      </w:r>
      <w:r>
        <w:t xml:space="preserve">existing PSPAP CPUE data.</w:t>
      </w:r>
    </w:p>
    <w:p>
      <w:pPr>
        <w:pStyle w:val="BodyText"/>
      </w:pPr>
      <w:r>
        <w:t xml:space="preserve">Quantifying effects of management actions and auxiliary information</w:t>
      </w:r>
    </w:p>
    <w:p>
      <w:pPr>
        <w:pStyle w:val="BodyText"/>
      </w:pPr>
      <w:r>
        <w:t xml:space="preserve">Parameters in capture recapture models can be related to covariates</w:t>
      </w:r>
      <w:r>
        <w:t xml:space="preserve"> </w:t>
      </w:r>
      <w:r>
        <w:t xml:space="preserve">which provide a potential means to quantify the population response to</w:t>
      </w:r>
      <w:r>
        <w:t xml:space="preserve"> </w:t>
      </w:r>
      <w:r>
        <w:t xml:space="preserve">management actions. For example, changes in flow can be related to</w:t>
      </w:r>
      <w:r>
        <w:t xml:space="preserve"> </w:t>
      </w:r>
      <w:r>
        <w:t xml:space="preserve">survival or migration parameters using a logit linear model</w:t>
      </w:r>
      <w:r>
        <w:t xml:space="preserve"> </w:t>
      </w:r>
      <w:r>
        <w:t xml:space="preserve">as$</w:t>
      </w:r>
      <w:r>
        <w:t xml:space="preserve">(</w:t>
      </w:r>
      <w:r>
        <w:t xml:space="preserve">)={{</w:t>
      </w:r>
      <w:r>
        <w:t xml:space="preserve">}</w:t>
      </w:r>
      <w:r>
        <w:rPr>
          <w:i/>
        </w:rPr>
        <w:t xml:space="preserve">{0}}+{{</w:t>
      </w:r>
      <w:r>
        <w:rPr>
          <w:i/>
        </w:rPr>
        <w:t xml:space="preserve">}</w:t>
      </w:r>
      <w:r>
        <w:t xml:space="preserve">{1}}</w:t>
      </w:r>
      <w:r>
        <w:t xml:space="preserve"> </w:t>
      </w:r>
      <w:r>
        <w:t xml:space="preserve">X+</w:t>
      </w:r>
      <w:r>
        <w:t xml:space="preserve">$, where</w:t>
      </w:r>
      <w:r>
        <w:t xml:space="preserve"> </w:t>
      </w:r>
      <m:oMath>
        <m:r>
          <m:t>θ</m:t>
        </m:r>
      </m:oMath>
      <w:r>
        <w:t xml:space="preserve"> </w:t>
      </w:r>
      <w:r>
        <w:t xml:space="preserve">is an estimated parameter (e.g.,</w:t>
      </w:r>
      <w:r>
        <w:t xml:space="preserve"> </w:t>
      </w:r>
      <m:oMath>
        <m:r>
          <m:t>ϕ</m:t>
        </m:r>
      </m:oMath>
      <w:r>
        <w:t xml:space="preserve">,</w:t>
      </w:r>
      <w:r>
        <w:t xml:space="preserve"> </w:t>
      </w:r>
      <m:oMath>
        <m:r>
          <m:t>γ</m:t>
        </m:r>
        <m:r>
          <m:t>′</m:t>
        </m:r>
      </m:oMath>
      <w:r>
        <w:t xml:space="preserve">,</w:t>
      </w:r>
      <w:r>
        <w:t xml:space="preserve"> </w:t>
      </w:r>
      <m:oMath>
        <m:r>
          <m:t>γ</m:t>
        </m:r>
        <m:r>
          <m:t>′</m:t>
        </m:r>
        <m:r>
          <m:t>′</m:t>
        </m:r>
      </m:oMath>
      <w:r>
        <w:t xml:space="preserv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effect of covariate</w:t>
      </w:r>
      <w:r>
        <w:t xml:space="preserve"> </w:t>
      </w:r>
      <m:oMath>
        <m:r>
          <m:t>X</m:t>
        </m:r>
      </m:oMath>
      <w:r>
        <w:t xml:space="preserve">, and $</w:t>
      </w:r>
      <w:r>
        <w:t xml:space="preserve">$ is</w:t>
      </w:r>
      <w:r>
        <w:t xml:space="preserve"> </w:t>
      </w:r>
      <w:r>
        <w:t xml:space="preserve">residual error. Additionally, auxiliary information can be used to</w:t>
      </w:r>
      <w:r>
        <w:t xml:space="preserve"> </w:t>
      </w:r>
      <w:r>
        <w:t xml:space="preserve">inform parameter estimates. For example, telemetry can be used to</w:t>
      </w:r>
      <w:r>
        <w:t xml:space="preserve"> </w:t>
      </w:r>
      <w:r>
        <w:t xml:space="preserve">determine whether a pallid sturgeon is in the study area or not and</w:t>
      </w:r>
      <w:r>
        <w:t xml:space="preserve"> </w:t>
      </w:r>
      <w:r>
        <w:t xml:space="preserve">thereby inform estimates of</w:t>
      </w:r>
      <w:r>
        <w:t xml:space="preserve"> </w:t>
      </w:r>
      <m:oMath>
        <m:r>
          <m:t>γ</m:t>
        </m:r>
        <m:r>
          <m:t>′</m:t>
        </m:r>
      </m:oMath>
      <w:r>
        <w:t xml:space="preserve">and</w:t>
      </w:r>
      <w:r>
        <w:t xml:space="preserve"> </w:t>
      </w:r>
      <m:oMath>
        <m:r>
          <m:t>γ</m:t>
        </m:r>
        <m:r>
          <m:t>′</m:t>
        </m:r>
        <m:r>
          <m:t>′</m:t>
        </m:r>
      </m:oMath>
      <w:r>
        <w:t xml:space="preserve">.</w:t>
      </w:r>
      <w:r>
        <w:t xml:space="preserve"> </w:t>
      </w:r>
      <w:r>
        <w:t xml:space="preserve">Overall ability of a capture recapture robust design to use auxiliary</w:t>
      </w:r>
      <w:r>
        <w:t xml:space="preserve"> </w:t>
      </w:r>
      <w:r>
        <w:t xml:space="preserve">information and potential capture population level responses to</w:t>
      </w:r>
      <w:r>
        <w:t xml:space="preserve"> </w:t>
      </w:r>
      <w:r>
        <w:t xml:space="preserve">management actions make this a potentially useful design beyond</w:t>
      </w:r>
      <w:r>
        <w:t xml:space="preserve"> </w:t>
      </w:r>
      <w:r>
        <w:t xml:space="preserve">providing a means to quantify the metrics and targets for sub-objectives</w:t>
      </w:r>
      <w:r>
        <w:t xml:space="preserve"> </w:t>
      </w:r>
      <w:r>
        <w:t xml:space="preserve">1 and 2.</w:t>
      </w:r>
    </w:p>
    <w:p>
      <w:pPr>
        <w:pStyle w:val="BodyText"/>
      </w:pPr>
      <w:r>
        <w:t xml:space="preserve">Caveats and considerations</w:t>
      </w:r>
      <w:r>
        <w:t xml:space="preserve"> </w:t>
      </w:r>
      <w:r>
        <w:t xml:space="preserve">Monitoring pallid sturgeon in a system as large as the Missouri River is</w:t>
      </w:r>
      <w:r>
        <w:t xml:space="preserve"> </w:t>
      </w:r>
      <w:r>
        <w:t xml:space="preserve">inherently challenging and it is likely that any approached used will</w:t>
      </w:r>
      <w:r>
        <w:t xml:space="preserve"> </w:t>
      </w:r>
      <w:r>
        <w:t xml:space="preserve">violate an assumption required to estimate demographic rates or</w:t>
      </w:r>
      <w:r>
        <w:t xml:space="preserve"> </w:t>
      </w:r>
      <w:r>
        <w:t xml:space="preserve">population abundance. The previous section provides an overview of the</w:t>
      </w:r>
      <w:r>
        <w:t xml:space="preserve"> </w:t>
      </w:r>
      <w:r>
        <w:t xml:space="preserve">robust design as a monitoring design for pallid sturgeon populations of</w:t>
      </w:r>
      <w:r>
        <w:t xml:space="preserve"> </w:t>
      </w:r>
      <w:r>
        <w:t xml:space="preserve">the Upper and Lower Missouri River. The accurate estimation of</w:t>
      </w:r>
      <w:r>
        <w:t xml:space="preserve"> </w:t>
      </w:r>
      <w:r>
        <w:t xml:space="preserve">population parameters represents a critical component of assessing the</w:t>
      </w:r>
      <w:r>
        <w:t xml:space="preserve"> </w:t>
      </w:r>
      <w:r>
        <w:t xml:space="preserve">system state for pallid sturgeon in the Missouri River and providing key</w:t>
      </w:r>
      <w:r>
        <w:t xml:space="preserve"> </w:t>
      </w:r>
      <w:r>
        <w:t xml:space="preserve">demographic values for evaluating management actions through predictive</w:t>
      </w:r>
      <w:r>
        <w:t xml:space="preserve"> </w:t>
      </w:r>
      <w:r>
        <w:t xml:space="preserve">population modeling. The estimation of these metrics depends on the</w:t>
      </w:r>
      <w:r>
        <w:t xml:space="preserve"> </w:t>
      </w:r>
      <w:r>
        <w:t xml:space="preserve">quality and quantity of data collected from a well-developed sampling</w:t>
      </w:r>
      <w:r>
        <w:t xml:space="preserve"> </w:t>
      </w:r>
      <w:r>
        <w:t xml:space="preserve">design. The optimal design must be cost-efficient, and provide reliable,</w:t>
      </w:r>
      <w:r>
        <w:t xml:space="preserve"> </w:t>
      </w:r>
      <w:r>
        <w:t xml:space="preserve">accurate data.</w:t>
      </w:r>
    </w:p>
    <w:p>
      <w:pPr>
        <w:pStyle w:val="BodyText"/>
      </w:pPr>
      <w:r>
        <w:t xml:space="preserve">Implementing an untested design on a large system like the Missouri</w:t>
      </w:r>
      <w:r>
        <w:t xml:space="preserve"> </w:t>
      </w:r>
      <w:r>
        <w:t xml:space="preserve">River could prove costly from the expenditure of time and effort if the</w:t>
      </w:r>
      <w:r>
        <w:t xml:space="preserve"> </w:t>
      </w:r>
      <w:r>
        <w:t xml:space="preserve">selected design performs poorly. Pallid sturgeon populations in the</w:t>
      </w:r>
      <w:r>
        <w:t xml:space="preserve"> </w:t>
      </w:r>
      <w:r>
        <w:t xml:space="preserve">Upper and Lower Missouri Rivers differ (e.g., size and age at maturity,</w:t>
      </w:r>
      <w:r>
        <w:t xml:space="preserve"> </w:t>
      </w:r>
      <w:r>
        <w:t xml:space="preserve">growth rates, life span). The habitats in which they live are also</w:t>
      </w:r>
      <w:r>
        <w:t xml:space="preserve"> </w:t>
      </w:r>
      <w:r>
        <w:t xml:space="preserve">different. The Lower River is characterized by a narrow, self-scouring</w:t>
      </w:r>
      <w:r>
        <w:t xml:space="preserve"> </w:t>
      </w:r>
      <w:r>
        <w:t xml:space="preserve">channel with higher water velocities, especially in the main channel. In</w:t>
      </w:r>
      <w:r>
        <w:t xml:space="preserve"> </w:t>
      </w:r>
      <w:r>
        <w:t xml:space="preserve">contrast, the Yellowstone and Upper Missouri Rivers are characterized by</w:t>
      </w:r>
      <w:r>
        <w:t xml:space="preserve"> </w:t>
      </w:r>
      <w:r>
        <w:t xml:space="preserve">lower velocities, shallower depths, and a more natural channel form.</w:t>
      </w:r>
      <w:r>
        <w:t xml:space="preserve"> </w:t>
      </w:r>
      <w:r>
        <w:t xml:space="preserve">Differences between the two Missouri River portions has shown that the</w:t>
      </w:r>
      <w:r>
        <w:t xml:space="preserve"> </w:t>
      </w:r>
      <w:r>
        <w:t xml:space="preserve">most effective sampling methodologies and potential strategies also</w:t>
      </w:r>
      <w:r>
        <w:t xml:space="preserve"> </w:t>
      </w:r>
      <w:r>
        <w:t xml:space="preserve">differ significantly and therefore necessitate that the mark-recapture</w:t>
      </w:r>
      <w:r>
        <w:t xml:space="preserve"> </w:t>
      </w:r>
      <w:r>
        <w:t xml:space="preserve">sample designs be tailored to each population. Provisional capture</w:t>
      </w:r>
      <w:r>
        <w:t xml:space="preserve"> </w:t>
      </w:r>
      <w:r>
        <w:t xml:space="preserve">recapture population monitoring designs need to be evaluated by</w:t>
      </w:r>
      <w:r>
        <w:t xml:space="preserve"> </w:t>
      </w:r>
      <w:r>
        <w:t xml:space="preserve">simulation modeling to identify the optimal design (that is, tradeoffs</w:t>
      </w:r>
      <w:r>
        <w:t xml:space="preserve"> </w:t>
      </w:r>
      <w:r>
        <w:t xml:space="preserve">between precision, bias, and cost) and provide proof of concept before</w:t>
      </w:r>
      <w:r>
        <w:t xml:space="preserve"> </w:t>
      </w:r>
      <w:r>
        <w:t xml:space="preserve">testing or implementing in the field as part of a level 1 science effort</w:t>
      </w:r>
      <w:r>
        <w:t xml:space="preserve"> </w:t>
      </w:r>
      <w:r>
        <w:t xml:space="preserve">and adjusted periodically to improve the design so that it more</w:t>
      </w:r>
      <w:r>
        <w:t xml:space="preserve"> </w:t>
      </w:r>
      <w:r>
        <w:t xml:space="preserve">effectively meets the monitoring and species objectives.</w:t>
      </w:r>
    </w:p>
    <w:p>
      <w:pPr>
        <w:pStyle w:val="Heading2"/>
      </w:pPr>
      <w:bookmarkStart w:id="65" w:name="valuation-of-monitoring-design-utility"/>
      <w:bookmarkEnd w:id="65"/>
      <w:r>
        <w:t xml:space="preserve">Valuation of monitoring design utility</w:t>
      </w:r>
    </w:p>
    <w:p>
      <w:pPr>
        <w:pStyle w:val="Heading3"/>
      </w:pPr>
      <w:bookmarkStart w:id="66" w:name="objectives-hierarchy-and-attributes-1"/>
      <w:bookmarkEnd w:id="66"/>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4"/>
      </w:pPr>
      <w:bookmarkStart w:id="67" w:name="quantify-ps-recruitment-to-age-1-natural-origin"/>
      <w:bookmarkEnd w:id="67"/>
      <w:r>
        <w:t xml:space="preserve">1. Quantify PS recruitment to age-1 (Natural origin)</w:t>
      </w:r>
    </w:p>
    <w:p>
      <w:pPr>
        <w:pStyle w:val="Compact"/>
        <w:numPr>
          <w:numId w:val="1036"/>
          <w:ilvl w:val="0"/>
        </w:numPr>
      </w:pPr>
      <w:r>
        <w:t xml:space="preserve">Power to detect age-1 natural origin recruits if recruitment occurs</w:t>
      </w:r>
    </w:p>
    <w:p>
      <w:pPr>
        <w:pStyle w:val="Compact"/>
        <w:numPr>
          <w:numId w:val="1036"/>
          <w:ilvl w:val="0"/>
        </w:numPr>
      </w:pPr>
      <w:r>
        <w:t xml:space="preserve">Segment level age-1 abundance</w:t>
      </w:r>
    </w:p>
    <w:p>
      <w:pPr>
        <w:pStyle w:val="Compact"/>
        <w:numPr>
          <w:numId w:val="1037"/>
          <w:ilvl w:val="1"/>
        </w:numPr>
      </w:pPr>
      <w:r>
        <w:t xml:space="preserve">bias</w:t>
      </w:r>
    </w:p>
    <w:p>
      <w:pPr>
        <w:pStyle w:val="Compact"/>
        <w:numPr>
          <w:numId w:val="1037"/>
          <w:ilvl w:val="1"/>
        </w:numPr>
      </w:pPr>
      <w:r>
        <w:t xml:space="preserve">precision</w:t>
      </w:r>
    </w:p>
    <w:p>
      <w:pPr>
        <w:pStyle w:val="Compact"/>
        <w:numPr>
          <w:numId w:val="1036"/>
          <w:ilvl w:val="0"/>
        </w:numPr>
      </w:pPr>
      <w:r>
        <w:t xml:space="preserve">Estimate age-1 recruitment rate (natural origin)</w:t>
      </w:r>
    </w:p>
    <w:p>
      <w:pPr>
        <w:pStyle w:val="Compact"/>
        <w:numPr>
          <w:numId w:val="1038"/>
          <w:ilvl w:val="1"/>
        </w:numPr>
      </w:pPr>
      <w:r>
        <w:t xml:space="preserve">bias</w:t>
      </w:r>
    </w:p>
    <w:p>
      <w:pPr>
        <w:pStyle w:val="Compact"/>
        <w:numPr>
          <w:numId w:val="1038"/>
          <w:ilvl w:val="1"/>
        </w:numPr>
      </w:pPr>
      <w:r>
        <w:t xml:space="preserve">precision</w:t>
      </w:r>
    </w:p>
    <w:p>
      <w:pPr>
        <w:pStyle w:val="Heading4"/>
      </w:pPr>
      <w:bookmarkStart w:id="68" w:name="quantify-ps-population-trend-and-abundance-natural-and-hatchery-origin"/>
      <w:bookmarkEnd w:id="68"/>
      <w:r>
        <w:t xml:space="preserve">2. Quantify PS population trend and abundance (natural and hatchery origin)</w:t>
      </w:r>
    </w:p>
    <w:p>
      <w:pPr>
        <w:pStyle w:val="Heading5"/>
      </w:pPr>
      <w:bookmarkStart w:id="69" w:name="trend"/>
      <w:bookmarkEnd w:id="69"/>
      <w:r>
        <w:t xml:space="preserve">Trend</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9"/>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39"/>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39"/>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NEED A BLURB ON HOW THIS IS A DIFFERENT METRIC THAN THE OTHERS AND HOW THEY ALL RELATE</w:t>
      </w:r>
    </w:p>
    <w:p>
      <w:pPr>
        <w:pStyle w:val="Heading5"/>
      </w:pPr>
      <w:bookmarkStart w:id="70" w:name="abundance"/>
      <w:bookmarkEnd w:id="70"/>
      <w:r>
        <w:t xml:space="preserve">Abundance</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40"/>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40"/>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40"/>
          <w:ilvl w:val="0"/>
        </w:numPr>
      </w:pPr>
      <w:r>
        <w:rPr>
          <w:b/>
        </w:rPr>
        <w:t xml:space="preserve">Performance: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w:t>
      </w:r>
    </w:p>
    <w:p>
      <w:pPr>
        <w:pStyle w:val="Heading4"/>
      </w:pPr>
      <w:bookmarkStart w:id="71" w:name="maintain-compatibility-with-legacy-pspap-data"/>
      <w:bookmarkEnd w:id="71"/>
      <w:r>
        <w:t xml:space="preserve">3. Maintain compatibility with legacy PSPAP data</w:t>
      </w:r>
    </w:p>
    <w:p>
      <w:pPr>
        <w:pStyle w:val="Compact"/>
        <w:numPr>
          <w:numId w:val="1041"/>
          <w:ilvl w:val="0"/>
        </w:numPr>
      </w:pPr>
      <w:r>
        <w:t xml:space="preserve">Proportion of randomly selected bends within segment</w:t>
      </w:r>
    </w:p>
    <w:p>
      <w:pPr>
        <w:pStyle w:val="Compact"/>
        <w:numPr>
          <w:numId w:val="1041"/>
          <w:ilvl w:val="0"/>
        </w:numPr>
      </w:pPr>
      <w:r>
        <w:t xml:space="preserve">Gears similarity: proportion of standard gears used by design</w:t>
      </w:r>
    </w:p>
    <w:p>
      <w:pPr>
        <w:pStyle w:val="Compact"/>
        <w:numPr>
          <w:numId w:val="1041"/>
          <w:ilvl w:val="0"/>
        </w:numPr>
      </w:pPr>
      <w:r>
        <w:t xml:space="preserve">Effort similarity: deviation from average effort</w:t>
      </w:r>
    </w:p>
    <w:p>
      <w:pPr>
        <w:pStyle w:val="Heading4"/>
      </w:pPr>
      <w:bookmarkStart w:id="72" w:name="provide-relevant-ps-model-inputs"/>
      <w:bookmarkEnd w:id="72"/>
      <w:r>
        <w:t xml:space="preserve">4. Provide relevant PS model inputs</w:t>
      </w:r>
    </w:p>
    <w:p>
      <w:pPr>
        <w:pStyle w:val="Compact"/>
        <w:numPr>
          <w:numId w:val="1042"/>
          <w:ilvl w:val="0"/>
        </w:numPr>
      </w:pPr>
      <w:r>
        <w:t xml:space="preserve">Proportion of model inputs that can be successfully estimated</w:t>
      </w:r>
    </w:p>
    <w:p>
      <w:pPr>
        <w:pStyle w:val="Heading4"/>
      </w:pPr>
      <w:bookmarkStart w:id="73" w:name="minimize-costs-and-do-not-exceed-budget-constraints"/>
      <w:bookmarkEnd w:id="73"/>
      <w:r>
        <w:t xml:space="preserve">5. Minimize costs (and do not exceed budget constraints)</w:t>
      </w:r>
    </w:p>
    <w:p>
      <w:pPr>
        <w:pStyle w:val="Compact"/>
        <w:numPr>
          <w:numId w:val="1043"/>
          <w:ilvl w:val="0"/>
        </w:numPr>
      </w:pPr>
      <w:r>
        <w:t xml:space="preserve">Expected cost of a monitoring design</w:t>
      </w:r>
    </w:p>
    <w:p>
      <w:pPr>
        <w:pStyle w:val="FirstParagraph"/>
      </w:pPr>
      <w:r>
        <w:t xml:space="preserve">Cost is the ultimate PSPAP constraint. Designs exceeding alloted funding</w:t>
      </w:r>
      <w:r>
        <w:t xml:space="preserve"> </w:t>
      </w:r>
      <w:r>
        <w:t xml:space="preserve">will not be considered. The expected cost for each design will be calculated. The expected cost can be used 3 ways.</w:t>
      </w:r>
      <w:r>
        <w:t xml:space="preserve"> </w:t>
      </w:r>
      <w:r>
        <w:t xml:space="preserve">First it can screen for designs that exceed cost constraints. Second, it</w:t>
      </w:r>
      <w:r>
        <w:t xml:space="preserve"> </w:t>
      </w:r>
      <w:r>
        <w:t xml:space="preserve">can be used in an absolute sense to quantify design cost. Thirdly,it can</w:t>
      </w:r>
      <w:r>
        <w:t xml:space="preserve"> </w:t>
      </w:r>
      <w:r>
        <w:t xml:space="preserve">be used relatively by dividing the value by the expected cost of the</w:t>
      </w:r>
      <w:r>
        <w:t xml:space="preserve"> </w:t>
      </w:r>
      <w:r>
        <w:t xml:space="preserve">current PSPAP. In this last case, values less than 1 represent cheaper and values</w:t>
      </w:r>
      <w:r>
        <w:t xml:space="preserve"> </w:t>
      </w:r>
      <w:r>
        <w:t xml:space="preserve">greater than 1 represent more expensive monitoring programs than the current one.</w:t>
      </w:r>
    </w:p>
    <w:p>
      <w:pPr>
        <w:pStyle w:val="BodyText"/>
      </w:pPr>
      <w:r>
        <w:t xml:space="preserve">Significant uncertainty exists in 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r>
        <w:t xml:space="preserve"> </w:t>
      </w:r>
      <w:r>
        <w:t xml:space="preserve">SECOND AND THIRD???</w:t>
      </w:r>
      <w:r>
        <w:t xml:space="preserve"> </w:t>
      </w:r>
      <w:r>
        <w:t xml:space="preserve">DOES THIS UNCERTAINTY VARY BY MONITORING DESIGN? IF SO, SHOULD WE ATTEMPT TO QUANTIFY IT AS A METRIC??</w:t>
      </w:r>
    </w:p>
    <w:p>
      <w:pPr>
        <w:pStyle w:val="Heading5"/>
      </w:pPr>
      <w:bookmarkStart w:id="74" w:name="estimating-cost-per-gear-deployment"/>
      <w:bookmarkEnd w:id="74"/>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44"/>
          <w:ilvl w:val="0"/>
        </w:numPr>
      </w:pPr>
      <w:r>
        <w:t xml:space="preserve">Annual funding provided to each field crew</w:t>
      </w:r>
    </w:p>
    <w:p>
      <w:pPr>
        <w:pStyle w:val="Compact"/>
        <w:numPr>
          <w:numId w:val="1044"/>
          <w:ilvl w:val="0"/>
        </w:numPr>
      </w:pPr>
      <w:r>
        <w:t xml:space="preserve">Calculate the number of bends sampled in a year</w:t>
      </w:r>
    </w:p>
    <w:p>
      <w:pPr>
        <w:pStyle w:val="Compact"/>
        <w:numPr>
          <w:numId w:val="1044"/>
          <w:ilvl w:val="0"/>
        </w:numPr>
      </w:pPr>
      <w:r>
        <w:t xml:space="preserve">Divide the cost by the total to get a field crew specific</w:t>
      </w:r>
      <w:r>
        <w:t xml:space="preserve"> </w:t>
      </w:r>
      <w:r>
        <w:t xml:space="preserve">cost per bend.</w:t>
      </w:r>
    </w:p>
    <w:p>
      <w:pPr>
        <w:pStyle w:val="Compact"/>
        <w:numPr>
          <w:numId w:val="1044"/>
          <w:ilvl w:val="0"/>
        </w:numPr>
      </w:pPr>
      <w:r>
        <w:t xml:space="preserve">Model or empirical distribution</w:t>
      </w:r>
    </w:p>
    <w:p>
      <w:pPr>
        <w:pStyle w:val="Compact"/>
        <w:numPr>
          <w:numId w:val="1045"/>
          <w:ilvl w:val="0"/>
        </w:numPr>
      </w:pPr>
      <w:r>
        <w:t xml:space="preserve">The season will begin when water temperatures decline to 12.8C or less</w:t>
      </w:r>
      <w:r>
        <w:t xml:space="preserve"> </w:t>
      </w:r>
      <w:r>
        <w:t xml:space="preserve">(in the fall) and will continue through June 30.</w:t>
      </w:r>
    </w:p>
    <w:p>
      <w:pPr>
        <w:pStyle w:val="Compact"/>
        <w:numPr>
          <w:numId w:val="1045"/>
          <w:ilvl w:val="0"/>
        </w:numPr>
      </w:pPr>
      <w:r>
        <w:t xml:space="preserve">The Fish Community Season will be July 1 through October 30 throughout</w:t>
      </w:r>
      <w:r>
        <w:t xml:space="preserve"> </w:t>
      </w:r>
      <w:r>
        <w:t xml:space="preserve">the geographic range of the PSPAP.</w:t>
      </w:r>
    </w:p>
    <w:p>
      <w:pPr>
        <w:pStyle w:val="Heading4"/>
      </w:pPr>
      <w:bookmarkStart w:id="75" w:name="important-assumptions"/>
      <w:bookmarkEnd w:id="75"/>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46"/>
          <w:ilvl w:val="0"/>
        </w:numPr>
      </w:pPr>
      <w:r>
        <w:t xml:space="preserve">Survival (RPMA level)</w:t>
      </w:r>
    </w:p>
    <w:p>
      <w:pPr>
        <w:pStyle w:val="Compact"/>
        <w:numPr>
          <w:numId w:val="1047"/>
          <w:ilvl w:val="1"/>
        </w:numPr>
      </w:pPr>
      <w:r>
        <w:t xml:space="preserve">bias</w:t>
      </w:r>
    </w:p>
    <w:p>
      <w:pPr>
        <w:pStyle w:val="Compact"/>
        <w:numPr>
          <w:numId w:val="1047"/>
          <w:ilvl w:val="1"/>
        </w:numPr>
      </w:pPr>
      <w:r>
        <w:t xml:space="preserve">precision</w:t>
      </w:r>
    </w:p>
    <w:p>
      <w:pPr>
        <w:pStyle w:val="Compact"/>
        <w:numPr>
          <w:numId w:val="1046"/>
          <w:ilvl w:val="0"/>
        </w:numPr>
      </w:pPr>
      <w:r>
        <w:t xml:space="preserve">Fecundity (RPMA level)</w:t>
      </w:r>
    </w:p>
    <w:p>
      <w:pPr>
        <w:pStyle w:val="Compact"/>
        <w:numPr>
          <w:numId w:val="1048"/>
          <w:ilvl w:val="1"/>
        </w:numPr>
      </w:pPr>
      <w:r>
        <w:t xml:space="preserve">bias</w:t>
      </w:r>
    </w:p>
    <w:p>
      <w:pPr>
        <w:pStyle w:val="Compact"/>
        <w:numPr>
          <w:numId w:val="1048"/>
          <w:ilvl w:val="1"/>
        </w:numPr>
      </w:pPr>
      <w:r>
        <w:t xml:space="preserve">precision</w:t>
      </w:r>
    </w:p>
    <w:p>
      <w:pPr>
        <w:pStyle w:val="Compact"/>
        <w:numPr>
          <w:numId w:val="1046"/>
          <w:ilvl w:val="0"/>
        </w:numPr>
      </w:pPr>
      <w:r>
        <w:t xml:space="preserve">Growth (RPMA)</w:t>
      </w:r>
    </w:p>
    <w:p>
      <w:pPr>
        <w:pStyle w:val="Compact"/>
        <w:numPr>
          <w:numId w:val="1049"/>
          <w:ilvl w:val="1"/>
        </w:numPr>
      </w:pPr>
      <w:r>
        <w:t xml:space="preserve">bias</w:t>
      </w:r>
    </w:p>
    <w:p>
      <w:pPr>
        <w:pStyle w:val="Compact"/>
        <w:numPr>
          <w:numId w:val="1049"/>
          <w:ilvl w:val="1"/>
        </w:numPr>
      </w:pPr>
      <w:r>
        <w:t xml:space="preserve">precision</w:t>
      </w:r>
    </w:p>
    <w:p>
      <w:pPr>
        <w:pStyle w:val="Compact"/>
        <w:numPr>
          <w:numId w:val="1046"/>
          <w:ilvl w:val="0"/>
        </w:numPr>
      </w:pPr>
      <w:r>
        <w:t xml:space="preserve">Movement</w:t>
      </w:r>
    </w:p>
    <w:p>
      <w:pPr>
        <w:pStyle w:val="Compact"/>
        <w:numPr>
          <w:numId w:val="1050"/>
          <w:ilvl w:val="1"/>
        </w:numPr>
      </w:pPr>
      <w:r>
        <w:t xml:space="preserve">fidelity</w:t>
      </w:r>
    </w:p>
    <w:p>
      <w:pPr>
        <w:pStyle w:val="Compact"/>
        <w:numPr>
          <w:numId w:val="1050"/>
          <w:ilvl w:val="1"/>
        </w:numPr>
      </w:pPr>
      <w:r>
        <w:t xml:space="preserve">among segment movement</w:t>
      </w:r>
    </w:p>
    <w:p>
      <w:pPr>
        <w:pStyle w:val="Compact"/>
        <w:numPr>
          <w:numId w:val="1046"/>
          <w:ilvl w:val="0"/>
        </w:numPr>
      </w:pPr>
      <w:r>
        <w:t xml:space="preserve">Population structure and characteristics (segment level)</w:t>
      </w:r>
    </w:p>
    <w:p>
      <w:pPr>
        <w:pStyle w:val="Compact"/>
        <w:numPr>
          <w:numId w:val="1051"/>
          <w:ilvl w:val="1"/>
        </w:numPr>
      </w:pPr>
      <w:r>
        <w:t xml:space="preserve">Size structure</w:t>
      </w:r>
    </w:p>
    <w:p>
      <w:pPr>
        <w:pStyle w:val="Compact"/>
        <w:numPr>
          <w:numId w:val="1052"/>
          <w:ilvl w:val="2"/>
        </w:numPr>
      </w:pPr>
      <w:r>
        <w:t xml:space="preserve">bias</w:t>
      </w:r>
    </w:p>
    <w:p>
      <w:pPr>
        <w:pStyle w:val="Compact"/>
        <w:numPr>
          <w:numId w:val="1052"/>
          <w:ilvl w:val="2"/>
        </w:numPr>
      </w:pPr>
      <w:r>
        <w:t xml:space="preserve">precision</w:t>
      </w:r>
    </w:p>
    <w:p>
      <w:pPr>
        <w:pStyle w:val="Compact"/>
        <w:numPr>
          <w:numId w:val="1051"/>
          <w:ilvl w:val="1"/>
        </w:numPr>
      </w:pPr>
      <w:r>
        <w:t xml:space="preserve">Sex ratio (segment level)</w:t>
      </w:r>
    </w:p>
    <w:p>
      <w:pPr>
        <w:pStyle w:val="Compact"/>
        <w:numPr>
          <w:numId w:val="1053"/>
          <w:ilvl w:val="2"/>
        </w:numPr>
      </w:pPr>
      <w:r>
        <w:t xml:space="preserve">bias</w:t>
      </w:r>
    </w:p>
    <w:p>
      <w:pPr>
        <w:pStyle w:val="Compact"/>
        <w:numPr>
          <w:numId w:val="1053"/>
          <w:ilvl w:val="2"/>
        </w:numPr>
      </w:pPr>
      <w:r>
        <w:t xml:space="preserve">precision</w:t>
      </w:r>
    </w:p>
    <w:p>
      <w:pPr>
        <w:pStyle w:val="Heading3"/>
      </w:pPr>
      <w:bookmarkStart w:id="76" w:name="estimate-segment-level-abundance-origin-and-stage-specific"/>
      <w:bookmarkEnd w:id="76"/>
      <w:r>
        <w:t xml:space="preserve">3. Estimate segment-level abundance, origin and stage specific</w:t>
      </w:r>
    </w:p>
    <w:p>
      <w:pPr>
        <w:numPr>
          <w:numId w:val="1054"/>
          <w:ilvl w:val="0"/>
        </w:numPr>
      </w:pPr>
      <w:r>
        <w:t xml:space="preserve">bias</w:t>
      </w:r>
    </w:p>
    <w:p>
      <w:pPr>
        <w:numPr>
          <w:numId w:val="1054"/>
          <w:ilvl w:val="0"/>
        </w:numPr>
      </w:pPr>
      <w:r>
        <w:t xml:space="preserve">precision</w:t>
      </w:r>
    </w:p>
    <w:p>
      <w:pPr>
        <w:numPr>
          <w:numId w:val="1054"/>
          <w:ilvl w:val="0"/>
        </w:numPr>
      </w:pPr>
      <w:r>
        <w:t xml:space="preserve">spatial distribution</w:t>
      </w:r>
    </w:p>
    <w:p>
      <w:pPr>
        <w:pStyle w:val="Heading3"/>
      </w:pPr>
      <w:bookmarkStart w:id="77" w:name="valuing-the-fundamental-objective"/>
      <w:bookmarkEnd w:id="77"/>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precision utility values, and precision utility approaches 0</w:t>
      </w:r>
      <w:r>
        <w:t xml:space="preserve"> </w:t>
      </w:r>
      <w:r>
        <w:t xml:space="preserve">as CV values increase to the maximum.</w:t>
      </w:r>
    </w:p>
    <w:p>
      <w:pPr>
        <w:pStyle w:val="BodyText"/>
      </w:pPr>
      <w:r>
        <w:t xml:space="preserve">ADD IN SOMETHING ABOUT BIAS AND PRECISION ESTIMATES BEING CONDITIONAL</w:t>
      </w:r>
      <w:r>
        <w:t xml:space="preserve"> </w:t>
      </w:r>
      <w:r>
        <w:t xml:space="preserve">ON RELIABILITY/PERFORMANCE AND HOW WE DEAL WITH THIS</w:t>
      </w:r>
    </w:p>
    <w:p>
      <w:pPr>
        <w:pStyle w:val="Heading3"/>
      </w:pPr>
      <w:bookmarkStart w:id="78" w:name="linking-monitoring-designs-and-objectives"/>
      <w:bookmarkEnd w:id="78"/>
      <w:r>
        <w:t xml:space="preserve">Linking monitoring designs and objectives</w:t>
      </w:r>
    </w:p>
    <w:p>
      <w:pPr>
        <w:pStyle w:val="FirstParagraph"/>
      </w:pPr>
      <w:r>
        <w:t xml:space="preserve">NEED TO CHANGE AROUND DUE TO NEW WAY OF HANDLING RELIABILITY/PERFORMANCE</w:t>
      </w:r>
      <w:r>
        <w:t xml:space="preserve"> </w:t>
      </w:r>
      <w:r>
        <w:t xml:space="preserve">AND MAKE A NOTE ON RELATIVE VS ABSOLUTE</w:t>
      </w:r>
    </w:p>
    <w:p>
      <w:pPr>
        <w:pStyle w:val="BodyText"/>
      </w:pPr>
      <w:r>
        <w:t xml:space="preserve">We can combine the utility values now such that monitoring designs</w:t>
      </w:r>
      <w:r>
        <w:t xml:space="preserve"> </w:t>
      </w:r>
      <w:r>
        <w:t xml:space="preserve">resulting in a trend estimate with relatively low bias, relatively high</w:t>
      </w:r>
      <w:r>
        <w:t xml:space="preserve"> </w:t>
      </w:r>
      <w:r>
        <w:t xml:space="preserve">precision, and good performance have higher values (i.e., approaching 1)</w:t>
      </w:r>
      <w:r>
        <w:t xml:space="preserve"> </w:t>
      </w:r>
      <w:r>
        <w:t xml:space="preserve">and estimates of the trend that is biased, imprecise with poor</w:t>
      </w:r>
      <w:r>
        <w:t xml:space="preserve"> </w:t>
      </w:r>
      <w:r>
        <w:t xml:space="preserve">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5"/>
          <w:ilvl w:val="0"/>
        </w:numPr>
      </w:pPr>
      <w:r>
        <w:t xml:space="preserve">Catch effort</w:t>
      </w:r>
    </w:p>
    <w:p>
      <w:pPr>
        <w:pStyle w:val="Compact"/>
        <w:numPr>
          <w:numId w:val="1056"/>
          <w:ilvl w:val="1"/>
        </w:numPr>
      </w:pPr>
      <w:r>
        <w:t xml:space="preserve">Proportional bias = -60, scaled = 0.8</w:t>
      </w:r>
    </w:p>
    <w:p>
      <w:pPr>
        <w:pStyle w:val="Compact"/>
        <w:numPr>
          <w:numId w:val="1056"/>
          <w:ilvl w:val="1"/>
        </w:numPr>
      </w:pPr>
      <w:r>
        <w:t xml:space="preserve">Precision = 112, scaled = 0.648</w:t>
      </w:r>
    </w:p>
    <w:p>
      <w:pPr>
        <w:pStyle w:val="Compact"/>
        <w:numPr>
          <w:numId w:val="1056"/>
          <w:ilvl w:val="1"/>
        </w:numPr>
      </w:pPr>
      <w:r>
        <w:t xml:space="preserve">Performance = 100, scaled = 1</w:t>
      </w:r>
    </w:p>
    <w:p>
      <w:pPr>
        <w:pStyle w:val="Compact"/>
        <w:numPr>
          <w:numId w:val="1055"/>
          <w:ilvl w:val="0"/>
        </w:numPr>
      </w:pPr>
      <w:r>
        <w:t xml:space="preserve">Capture recapture</w:t>
      </w:r>
    </w:p>
    <w:p>
      <w:pPr>
        <w:pStyle w:val="Compact"/>
        <w:numPr>
          <w:numId w:val="1057"/>
          <w:ilvl w:val="1"/>
        </w:numPr>
      </w:pPr>
      <w:r>
        <w:t xml:space="preserve">Proportional bias = 5, scaled = 0.983</w:t>
      </w:r>
    </w:p>
    <w:p>
      <w:pPr>
        <w:pStyle w:val="Compact"/>
        <w:numPr>
          <w:numId w:val="1057"/>
          <w:ilvl w:val="1"/>
        </w:numPr>
      </w:pPr>
      <w:r>
        <w:t xml:space="preserve">Precision = 115, scaled = 0.638</w:t>
      </w:r>
    </w:p>
    <w:p>
      <w:pPr>
        <w:pStyle w:val="Compact"/>
        <w:numPr>
          <w:numId w:val="1057"/>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2"/>
      </w:pPr>
      <w:bookmarkStart w:id="79" w:name="swing-weighting"/>
      <w:bookmarkEnd w:id="79"/>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 0.75</w:t>
      </w:r>
      <w:r>
        <w:t xml:space="preserve"> </w:t>
      </w:r>
      <w:r>
        <w:t xml:space="preserve">for precision and 0.25 for bias, based on this feeling as we did in the</w:t>
      </w:r>
      <w:r>
        <w:t xml:space="preserve"> </w:t>
      </w:r>
      <w:r>
        <w:t xml:space="preserve">example above, is not only a very subjective approach but it also did</w:t>
      </w:r>
      <w:r>
        <w:t xml:space="preserve"> </w:t>
      </w:r>
      <w:r>
        <w:t xml:space="preserve">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3"/>
      </w:pPr>
      <w:bookmarkStart w:id="80" w:name="stakeholder-input"/>
      <w:bookmarkEnd w:id="80"/>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1"/>
      </w:pPr>
      <w:bookmarkStart w:id="81" w:name="routing-of-monitoring-design-sub-objectives"/>
      <w:bookmarkEnd w:id="81"/>
      <w:r>
        <w:t xml:space="preserve">Routing of monitoring design sub-objectives</w:t>
      </w:r>
    </w:p>
    <w:p>
      <w:pPr>
        <w:pStyle w:val="Heading2"/>
      </w:pPr>
      <w:bookmarkStart w:id="82" w:name="fecundity"/>
      <w:bookmarkEnd w:id="82"/>
      <w:r>
        <w:t xml:space="preserve">Fecundity</w:t>
      </w:r>
    </w:p>
    <w:p>
      <w:pPr>
        <w:pStyle w:val="FirstParagraph"/>
      </w:pPr>
      <w:r>
        <w:drawing>
          <wp:inline>
            <wp:extent cx="6006164" cy="6006164"/>
            <wp:effectExtent b="0" l="0" r="0" t="0"/>
            <wp:docPr descr="" id="1" name="Picture"/>
            <a:graphic>
              <a:graphicData uri="http://schemas.openxmlformats.org/drawingml/2006/picture">
                <pic:pic>
                  <pic:nvPicPr>
                    <pic:cNvPr descr="201802151721-reboot-master-report_files/figure-docx/unnamed-chunk-18-1.png" id="0" name="Picture"/>
                    <pic:cNvPicPr>
                      <a:picLocks noChangeArrowheads="1" noChangeAspect="1"/>
                    </pic:cNvPicPr>
                  </pic:nvPicPr>
                  <pic:blipFill>
                    <a:blip r:embed="rId8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18-2.png" id="0" name="Picture"/>
                    <pic:cNvPicPr>
                      <a:picLocks noChangeArrowheads="1" noChangeAspect="1"/>
                    </pic:cNvPicPr>
                  </pic:nvPicPr>
                  <pic:blipFill>
                    <a:blip r:embed="rId84"/>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85" w:name="results"/>
      <w:bookmarkEnd w:id="85"/>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86"/>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87"/>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88"/>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89" w:name="discussion"/>
      <w:bookmarkEnd w:id="89"/>
      <w:r>
        <w:t xml:space="preserve">Discussion</w:t>
      </w:r>
    </w:p>
    <w:p>
      <w:pPr>
        <w:pStyle w:val="Heading5"/>
      </w:pPr>
      <w:bookmarkStart w:id="90" w:name="page-break"/>
      <w:bookmarkEnd w:id="90"/>
      <w:r>
        <w:t xml:space="preserve">page break</w:t>
      </w:r>
    </w:p>
    <w:p>
      <w:pPr>
        <w:pStyle w:val="Heading1"/>
      </w:pPr>
      <w:bookmarkStart w:id="91" w:name="figures"/>
      <w:bookmarkEnd w:id="91"/>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92"/>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93" w:name="page-break-1"/>
      <w:bookmarkEnd w:id="93"/>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94"/>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95" w:name="page-break-2"/>
      <w:bookmarkEnd w:id="95"/>
      <w:r>
        <w:t xml:space="preserve">Page Break</w:t>
      </w:r>
    </w:p>
    <w:p>
      <w:pPr>
        <w:pStyle w:val="FirstParagraph"/>
      </w:pPr>
      <w:r>
        <w:drawing>
          <wp:inline>
            <wp:extent cx="6629400" cy="3585061"/>
            <wp:effectExtent b="0" l="0" r="0" t="0"/>
            <wp:docPr descr="" id="1" name="Picture"/>
            <a:graphic>
              <a:graphicData uri="http://schemas.openxmlformats.org/drawingml/2006/picture">
                <pic:pic>
                  <pic:nvPicPr>
                    <pic:cNvPr descr="images/Movement.jpeg" id="0" name="Picture"/>
                    <pic:cNvPicPr>
                      <a:picLocks noChangeArrowheads="1" noChangeAspect="1"/>
                    </pic:cNvPicPr>
                  </pic:nvPicPr>
                  <pic:blipFill>
                    <a:blip r:embed="rId96"/>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97" w:name="page-break-3"/>
      <w:bookmarkEnd w:id="97"/>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98"/>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99" w:name="page-break-4"/>
      <w:bookmarkEnd w:id="99"/>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100"/>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01" w:name="page-break-5"/>
      <w:bookmarkEnd w:id="101"/>
      <w:r>
        <w:t xml:space="preserve">page break</w:t>
      </w:r>
    </w:p>
    <w:p>
      <w:pPr>
        <w:pStyle w:val="FirstParagraph"/>
      </w:pPr>
      <w:r>
        <w:drawing>
          <wp:inline>
            <wp:extent cx="6629400" cy="3646170"/>
            <wp:effectExtent b="0" l="0" r="0" t="0"/>
            <wp:docPr descr="" id="1" name="Picture"/>
            <a:graphic>
              <a:graphicData uri="http://schemas.openxmlformats.org/drawingml/2006/picture">
                <pic:pic>
                  <pic:nvPicPr>
                    <pic:cNvPr descr="images/EffortDistEx.jpeg" id="0" name="Picture"/>
                    <pic:cNvPicPr>
                      <a:picLocks noChangeArrowheads="1" noChangeAspect="1"/>
                    </pic:cNvPicPr>
                  </pic:nvPicPr>
                  <pic:blipFill>
                    <a:blip r:embed="rId102"/>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103" w:name="page-break-6"/>
      <w:bookmarkEnd w:id="103"/>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151721-reboot-master-report_files/figure-docx/unnamed-chunk-26-1.png" id="0" name="Picture"/>
                    <pic:cNvPicPr>
                      <a:picLocks noChangeArrowheads="1" noChangeAspect="1"/>
                    </pic:cNvPicPr>
                  </pic:nvPicPr>
                  <pic:blipFill>
                    <a:blip r:embed="rId10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2.png" id="0" name="Picture"/>
                    <pic:cNvPicPr>
                      <a:picLocks noChangeArrowheads="1" noChangeAspect="1"/>
                    </pic:cNvPicPr>
                  </pic:nvPicPr>
                  <pic:blipFill>
                    <a:blip r:embed="rId10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3.png" id="0" name="Picture"/>
                    <pic:cNvPicPr>
                      <a:picLocks noChangeArrowheads="1" noChangeAspect="1"/>
                    </pic:cNvPicPr>
                  </pic:nvPicPr>
                  <pic:blipFill>
                    <a:blip r:embed="rId10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4.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5.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6.png" id="0" name="Picture"/>
                    <pic:cNvPicPr>
                      <a:picLocks noChangeArrowheads="1" noChangeAspect="1"/>
                    </pic:cNvPicPr>
                  </pic:nvPicPr>
                  <pic:blipFill>
                    <a:blip r:embed="rId10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7.png" id="0" name="Picture"/>
                    <pic:cNvPicPr>
                      <a:picLocks noChangeArrowheads="1" noChangeAspect="1"/>
                    </pic:cNvPicPr>
                  </pic:nvPicPr>
                  <pic:blipFill>
                    <a:blip r:embed="rId11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51721-reboot-master-report_files/figure-docx/unnamed-chunk-26-8.png" id="0" name="Picture"/>
                    <pic:cNvPicPr>
                      <a:picLocks noChangeArrowheads="1" noChangeAspect="1"/>
                    </pic:cNvPicPr>
                  </pic:nvPicPr>
                  <pic:blipFill>
                    <a:blip r:embed="rId11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151721-reboot-master-report_files/figure-docx/unnamed-chunk-27-1.png" id="0" name="Picture"/>
                    <pic:cNvPicPr>
                      <a:picLocks noChangeArrowheads="1" noChangeAspect="1"/>
                    </pic:cNvPicPr>
                  </pic:nvPicPr>
                  <pic:blipFill>
                    <a:blip r:embed="rId112"/>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Heading2"/>
      </w:pPr>
      <w:bookmarkStart w:id="113" w:name="effort-figures"/>
      <w:bookmarkEnd w:id="113"/>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14" w:name="tables"/>
      <w:bookmarkEnd w:id="114"/>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15" w:name="page-break-7"/>
      <w:bookmarkEnd w:id="115"/>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16" w:name="page-break-8"/>
      <w:bookmarkEnd w:id="116"/>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17" w:name="page-break-9"/>
      <w:bookmarkEnd w:id="117"/>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18" w:name="effort-tables"/>
      <w:bookmarkEnd w:id="118"/>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19" w:name="appendix"/>
      <w:bookmarkEnd w:id="119"/>
      <w:r>
        <w:t xml:space="preserve">Appendix</w:t>
      </w:r>
    </w:p>
    <w:p>
      <w:pPr>
        <w:pStyle w:val="Heading1"/>
      </w:pPr>
      <w:bookmarkStart w:id="120" w:name="references"/>
      <w:bookmarkEnd w:id="120"/>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6">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6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923788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3f4f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57e5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00" Target="media/rId100.jpg" /><Relationship Type="http://schemas.openxmlformats.org/officeDocument/2006/relationships/image" Id="rId102" Target="media/rId102.jp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8" Target="media/rId98.jpg" /><Relationship Type="http://schemas.openxmlformats.org/officeDocument/2006/relationships/image" Id="rId96" Target="media/rId96.jpg" /><Relationship Type="http://schemas.openxmlformats.org/officeDocument/2006/relationships/image" Id="rId94" Target="media/rId94.jpg" /><Relationship Type="http://schemas.openxmlformats.org/officeDocument/2006/relationships/image" Id="rId92" Target="media/rId92.png" /><Relationship Type="http://schemas.openxmlformats.org/officeDocument/2006/relationships/hyperlink" Id="rId21" Target="https://rpubs.com/ajlyons/autonumfigs" TargetMode="External" /></Relationships>
</file>

<file path=word/_rels/footnotes.xml.rels><?xml version="1.0" encoding="UTF-8"?>
<Relationships xmlns="http://schemas.openxmlformats.org/package/2006/relationships"><Relationship Type="http://schemas.openxmlformats.org/officeDocument/2006/relationships/hyperlink" Id="rId21" Target="https://rpubs.com/ajlyons/autonumfi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2018-02-15T23:23:05Z</dcterms:created>
  <dcterms:modified xsi:type="dcterms:W3CDTF">2018-02-15T23:23:05Z</dcterms:modified>
</cp:coreProperties>
</file>