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43" w:rsidRDefault="00990D30">
      <w:pPr>
        <w:pStyle w:val="Title"/>
      </w:pPr>
      <w:r>
        <w:t>PSPAP Workshop Objectives hierarchy</w:t>
      </w:r>
    </w:p>
    <w:p w:rsidR="00A14843" w:rsidRDefault="00990D30">
      <w:pPr>
        <w:pStyle w:val="Date"/>
      </w:pPr>
      <w:r>
        <w:t>Workshop held March 21, 2017</w:t>
      </w:r>
    </w:p>
    <w:p w:rsidR="00A14843" w:rsidRDefault="00990D30">
      <w:pPr>
        <w:pStyle w:val="Heading1"/>
      </w:pPr>
      <w:bookmarkStart w:id="0" w:name="objectives-hierarchy-and-attributes"/>
      <w:bookmarkEnd w:id="0"/>
      <w:r>
        <w:t>Objectives hierarchy and attributes</w:t>
      </w:r>
    </w:p>
    <w:p w:rsidR="00A14843" w:rsidRDefault="00990D30">
      <w:pPr>
        <w:pStyle w:val="FirstParagraph"/>
      </w:pPr>
      <w:r>
        <w:t xml:space="preserve">The numbered objectives correspond to fundamental objectives identified during the workshop. Bulleted lists within each numbered objective in </w:t>
      </w:r>
      <w:r>
        <w:t>bold are measurable attributes that can be used to quantify each objective. For example there are 3 attributes under objective 1 that can be quantified for each monitoring alternative. Assuming these attributes are scaled to a common scale (e.g., 0 to 1, 0</w:t>
      </w:r>
      <w:r>
        <w:t xml:space="preserve"> to 100) then each bullet may receive a weight of 33% if each attribute is equally important to decision makers. Alternatively these values can be weighted to reflect perceived importance by decision makers.</w:t>
      </w:r>
    </w:p>
    <w:p w:rsidR="00A14843" w:rsidRDefault="00990D30">
      <w:pPr>
        <w:pStyle w:val="Compact"/>
        <w:numPr>
          <w:ilvl w:val="0"/>
          <w:numId w:val="3"/>
        </w:numPr>
      </w:pPr>
      <w:r>
        <w:rPr>
          <w:b/>
        </w:rPr>
        <w:t>Quantify PS recruitment to age-1 (Natural origin</w:t>
      </w:r>
      <w:r>
        <w:rPr>
          <w:b/>
        </w:rPr>
        <w:t>)</w:t>
      </w:r>
    </w:p>
    <w:p w:rsidR="00A14843" w:rsidRDefault="00990D30">
      <w:pPr>
        <w:pStyle w:val="Compact"/>
        <w:numPr>
          <w:ilvl w:val="1"/>
          <w:numId w:val="4"/>
        </w:numPr>
      </w:pPr>
      <w:r>
        <w:t>Power to detect age-1 natural origin recruits if recruitment occurs</w:t>
      </w:r>
    </w:p>
    <w:p w:rsidR="00A14843" w:rsidRDefault="00990D30">
      <w:pPr>
        <w:pStyle w:val="Compact"/>
        <w:numPr>
          <w:ilvl w:val="1"/>
          <w:numId w:val="4"/>
        </w:numPr>
      </w:pPr>
      <w:r>
        <w:t xml:space="preserve">Segment level age-1 </w:t>
      </w:r>
      <w:commentRangeStart w:id="1"/>
      <w:r>
        <w:t>abundance</w:t>
      </w:r>
      <w:commentRangeEnd w:id="1"/>
      <w:r w:rsidR="00047BAB">
        <w:rPr>
          <w:rStyle w:val="CommentReference"/>
        </w:rPr>
        <w:commentReference w:id="1"/>
      </w:r>
    </w:p>
    <w:p w:rsidR="00A14843" w:rsidRDefault="00990D30">
      <w:pPr>
        <w:pStyle w:val="Compact"/>
        <w:numPr>
          <w:ilvl w:val="2"/>
          <w:numId w:val="5"/>
        </w:numPr>
      </w:pPr>
      <w:r>
        <w:t>bias</w:t>
      </w:r>
    </w:p>
    <w:p w:rsidR="00A14843" w:rsidRDefault="00990D30">
      <w:pPr>
        <w:pStyle w:val="Compact"/>
        <w:numPr>
          <w:ilvl w:val="2"/>
          <w:numId w:val="5"/>
        </w:numPr>
      </w:pPr>
      <w:r>
        <w:t>precision</w:t>
      </w:r>
    </w:p>
    <w:p w:rsidR="00A14843" w:rsidRDefault="00990D30">
      <w:pPr>
        <w:pStyle w:val="Compact"/>
        <w:numPr>
          <w:ilvl w:val="1"/>
          <w:numId w:val="4"/>
        </w:numPr>
      </w:pPr>
      <w:r>
        <w:t>Estimate age-1 recruitment rate (natural origin)</w:t>
      </w:r>
    </w:p>
    <w:p w:rsidR="00A14843" w:rsidRDefault="00990D30">
      <w:pPr>
        <w:pStyle w:val="Compact"/>
        <w:numPr>
          <w:ilvl w:val="2"/>
          <w:numId w:val="6"/>
        </w:numPr>
      </w:pPr>
      <w:r>
        <w:t>bias</w:t>
      </w:r>
    </w:p>
    <w:p w:rsidR="00A14843" w:rsidRDefault="00990D30">
      <w:pPr>
        <w:pStyle w:val="Compact"/>
        <w:numPr>
          <w:ilvl w:val="2"/>
          <w:numId w:val="6"/>
        </w:numPr>
      </w:pPr>
      <w:r>
        <w:t>precision</w:t>
      </w:r>
    </w:p>
    <w:p w:rsidR="00A14843" w:rsidRDefault="00990D30">
      <w:pPr>
        <w:pStyle w:val="Compact"/>
        <w:numPr>
          <w:ilvl w:val="0"/>
          <w:numId w:val="3"/>
        </w:numPr>
      </w:pPr>
      <w:r>
        <w:rPr>
          <w:b/>
        </w:rPr>
        <w:t xml:space="preserve">Quantify PS </w:t>
      </w:r>
      <w:commentRangeStart w:id="2"/>
      <w:r>
        <w:rPr>
          <w:b/>
        </w:rPr>
        <w:t xml:space="preserve">population </w:t>
      </w:r>
      <w:commentRangeEnd w:id="2"/>
      <w:r w:rsidR="00047BAB">
        <w:rPr>
          <w:rStyle w:val="CommentReference"/>
        </w:rPr>
        <w:commentReference w:id="2"/>
      </w:r>
      <w:r>
        <w:rPr>
          <w:b/>
        </w:rPr>
        <w:t>trend (natural and hatchery origin)</w:t>
      </w:r>
    </w:p>
    <w:p w:rsidR="00A14843" w:rsidRDefault="00990D30">
      <w:pPr>
        <w:pStyle w:val="Compact"/>
        <w:numPr>
          <w:ilvl w:val="1"/>
          <w:numId w:val="7"/>
        </w:numPr>
      </w:pPr>
      <w:r>
        <w:t>Estimate RPMA leve</w:t>
      </w:r>
      <w:r>
        <w:t xml:space="preserve">l population growth rate </w:t>
      </w:r>
      <w:commentRangeStart w:id="3"/>
      <m:oMath>
        <m:r>
          <w:rPr>
            <w:rFonts w:ascii="Cambria Math" w:hAnsi="Cambria Math"/>
          </w:rPr>
          <m:t>λ</m:t>
        </m:r>
        <w:commentRangeEnd w:id="3"/>
        <m:r>
          <m:rPr>
            <m:sty m:val="p"/>
          </m:rPr>
          <w:rPr>
            <w:rStyle w:val="CommentReference"/>
          </w:rPr>
          <w:commentReference w:id="3"/>
        </m:r>
      </m:oMath>
    </w:p>
    <w:p w:rsidR="00A14843" w:rsidRDefault="00990D30">
      <w:pPr>
        <w:pStyle w:val="Compact"/>
        <w:numPr>
          <w:ilvl w:val="2"/>
          <w:numId w:val="8"/>
        </w:numPr>
      </w:pPr>
      <w:r>
        <w:t>bias</w:t>
      </w:r>
    </w:p>
    <w:p w:rsidR="00A14843" w:rsidRDefault="00990D30">
      <w:pPr>
        <w:pStyle w:val="Compact"/>
        <w:numPr>
          <w:ilvl w:val="2"/>
          <w:numId w:val="8"/>
        </w:numPr>
      </w:pPr>
      <w:r>
        <w:t>precision</w:t>
      </w:r>
    </w:p>
    <w:p w:rsidR="00A14843" w:rsidRDefault="00990D30">
      <w:pPr>
        <w:pStyle w:val="Compact"/>
        <w:numPr>
          <w:ilvl w:val="0"/>
          <w:numId w:val="3"/>
        </w:numPr>
      </w:pPr>
      <w:r>
        <w:rPr>
          <w:b/>
        </w:rPr>
        <w:t>Provide relevant PS model inputs</w:t>
      </w:r>
    </w:p>
    <w:p w:rsidR="00A14843" w:rsidRDefault="00990D30">
      <w:pPr>
        <w:pStyle w:val="Compact"/>
        <w:numPr>
          <w:ilvl w:val="1"/>
          <w:numId w:val="9"/>
        </w:numPr>
      </w:pPr>
      <w:r>
        <w:t>Estimate segment-level abundance, origin and stage specific</w:t>
      </w:r>
    </w:p>
    <w:p w:rsidR="00A14843" w:rsidRDefault="00990D30">
      <w:pPr>
        <w:pStyle w:val="Compact"/>
        <w:numPr>
          <w:ilvl w:val="2"/>
          <w:numId w:val="10"/>
        </w:numPr>
      </w:pPr>
      <w:r>
        <w:t>bias</w:t>
      </w:r>
    </w:p>
    <w:p w:rsidR="00A14843" w:rsidRDefault="00990D30">
      <w:pPr>
        <w:pStyle w:val="Compact"/>
        <w:numPr>
          <w:ilvl w:val="2"/>
          <w:numId w:val="10"/>
        </w:numPr>
      </w:pPr>
      <w:r>
        <w:t>precision</w:t>
      </w:r>
    </w:p>
    <w:p w:rsidR="00A14843" w:rsidRDefault="00990D30">
      <w:pPr>
        <w:pStyle w:val="Compact"/>
        <w:numPr>
          <w:ilvl w:val="2"/>
          <w:numId w:val="10"/>
        </w:numPr>
      </w:pPr>
      <w:r>
        <w:t>spatial distribution</w:t>
      </w:r>
    </w:p>
    <w:p w:rsidR="00A14843" w:rsidRDefault="00990D30">
      <w:pPr>
        <w:pStyle w:val="Compact"/>
        <w:numPr>
          <w:ilvl w:val="1"/>
          <w:numId w:val="9"/>
        </w:numPr>
      </w:pPr>
      <w:r>
        <w:t>Survival (RPMA level)</w:t>
      </w:r>
    </w:p>
    <w:p w:rsidR="00A14843" w:rsidRDefault="00990D30">
      <w:pPr>
        <w:pStyle w:val="Compact"/>
        <w:numPr>
          <w:ilvl w:val="2"/>
          <w:numId w:val="11"/>
        </w:numPr>
      </w:pPr>
      <w:r>
        <w:t>bias</w:t>
      </w:r>
    </w:p>
    <w:p w:rsidR="00A14843" w:rsidRDefault="00990D30">
      <w:pPr>
        <w:pStyle w:val="Compact"/>
        <w:numPr>
          <w:ilvl w:val="2"/>
          <w:numId w:val="11"/>
        </w:numPr>
      </w:pPr>
      <w:r>
        <w:t>precision</w:t>
      </w:r>
    </w:p>
    <w:p w:rsidR="00A14843" w:rsidRDefault="00990D30">
      <w:pPr>
        <w:pStyle w:val="Compact"/>
        <w:numPr>
          <w:ilvl w:val="1"/>
          <w:numId w:val="9"/>
        </w:numPr>
      </w:pPr>
      <w:r>
        <w:t>Fecundity (RPMA level)</w:t>
      </w:r>
    </w:p>
    <w:p w:rsidR="00A14843" w:rsidRDefault="00990D30">
      <w:pPr>
        <w:pStyle w:val="Compact"/>
        <w:numPr>
          <w:ilvl w:val="2"/>
          <w:numId w:val="12"/>
        </w:numPr>
      </w:pPr>
      <w:r>
        <w:t>bias</w:t>
      </w:r>
    </w:p>
    <w:p w:rsidR="00A14843" w:rsidRDefault="00990D30">
      <w:pPr>
        <w:pStyle w:val="Compact"/>
        <w:numPr>
          <w:ilvl w:val="2"/>
          <w:numId w:val="12"/>
        </w:numPr>
      </w:pPr>
      <w:r>
        <w:t>precision</w:t>
      </w:r>
    </w:p>
    <w:p w:rsidR="00A14843" w:rsidRDefault="00990D30">
      <w:pPr>
        <w:pStyle w:val="Compact"/>
        <w:numPr>
          <w:ilvl w:val="1"/>
          <w:numId w:val="9"/>
        </w:numPr>
      </w:pPr>
      <w:r>
        <w:t>Growth (RPMA)</w:t>
      </w:r>
    </w:p>
    <w:p w:rsidR="00A14843" w:rsidRDefault="00990D30">
      <w:pPr>
        <w:pStyle w:val="Compact"/>
        <w:numPr>
          <w:ilvl w:val="2"/>
          <w:numId w:val="13"/>
        </w:numPr>
      </w:pPr>
      <w:r>
        <w:t>bias</w:t>
      </w:r>
    </w:p>
    <w:p w:rsidR="00A14843" w:rsidRDefault="00990D30">
      <w:pPr>
        <w:pStyle w:val="Compact"/>
        <w:numPr>
          <w:ilvl w:val="2"/>
          <w:numId w:val="13"/>
        </w:numPr>
      </w:pPr>
      <w:r>
        <w:t>precision</w:t>
      </w:r>
    </w:p>
    <w:p w:rsidR="00A14843" w:rsidRDefault="00990D30">
      <w:pPr>
        <w:pStyle w:val="Compact"/>
        <w:numPr>
          <w:ilvl w:val="1"/>
          <w:numId w:val="9"/>
        </w:numPr>
      </w:pPr>
      <w:r>
        <w:lastRenderedPageBreak/>
        <w:t>Movement</w:t>
      </w:r>
    </w:p>
    <w:p w:rsidR="00A14843" w:rsidRDefault="00990D30">
      <w:pPr>
        <w:pStyle w:val="Compact"/>
        <w:numPr>
          <w:ilvl w:val="2"/>
          <w:numId w:val="14"/>
        </w:numPr>
      </w:pPr>
      <w:r>
        <w:t>fidelity</w:t>
      </w:r>
    </w:p>
    <w:p w:rsidR="00A14843" w:rsidRDefault="00990D30">
      <w:pPr>
        <w:pStyle w:val="Compact"/>
        <w:numPr>
          <w:ilvl w:val="2"/>
          <w:numId w:val="14"/>
        </w:numPr>
      </w:pPr>
      <w:r>
        <w:t>among segment movement</w:t>
      </w:r>
    </w:p>
    <w:p w:rsidR="00A14843" w:rsidRDefault="00990D30">
      <w:pPr>
        <w:pStyle w:val="Compact"/>
        <w:numPr>
          <w:ilvl w:val="1"/>
          <w:numId w:val="9"/>
        </w:numPr>
      </w:pPr>
      <w:r>
        <w:t>Population structure and characteristics (segment level)</w:t>
      </w:r>
    </w:p>
    <w:p w:rsidR="00A14843" w:rsidRDefault="00990D30">
      <w:pPr>
        <w:pStyle w:val="Compact"/>
        <w:numPr>
          <w:ilvl w:val="2"/>
          <w:numId w:val="15"/>
        </w:numPr>
      </w:pPr>
      <w:r>
        <w:t>Size structure</w:t>
      </w:r>
    </w:p>
    <w:p w:rsidR="00A14843" w:rsidRDefault="00990D30">
      <w:pPr>
        <w:pStyle w:val="Compact"/>
        <w:numPr>
          <w:ilvl w:val="3"/>
          <w:numId w:val="16"/>
        </w:numPr>
      </w:pPr>
      <w:r>
        <w:t>bias</w:t>
      </w:r>
    </w:p>
    <w:p w:rsidR="00A14843" w:rsidRDefault="00990D30">
      <w:pPr>
        <w:pStyle w:val="Compact"/>
        <w:numPr>
          <w:ilvl w:val="3"/>
          <w:numId w:val="16"/>
        </w:numPr>
      </w:pPr>
      <w:r>
        <w:t>precision</w:t>
      </w:r>
    </w:p>
    <w:p w:rsidR="00A14843" w:rsidRDefault="00990D30">
      <w:pPr>
        <w:pStyle w:val="Compact"/>
        <w:numPr>
          <w:ilvl w:val="1"/>
          <w:numId w:val="9"/>
        </w:numPr>
      </w:pPr>
      <w:r>
        <w:t>Sex ratio (segment level)</w:t>
      </w:r>
    </w:p>
    <w:p w:rsidR="00A14843" w:rsidRDefault="00990D30">
      <w:pPr>
        <w:pStyle w:val="Compact"/>
        <w:numPr>
          <w:ilvl w:val="2"/>
          <w:numId w:val="17"/>
        </w:numPr>
      </w:pPr>
      <w:r>
        <w:t>bias</w:t>
      </w:r>
    </w:p>
    <w:p w:rsidR="00A14843" w:rsidRDefault="00990D30">
      <w:pPr>
        <w:pStyle w:val="Compact"/>
        <w:numPr>
          <w:ilvl w:val="2"/>
          <w:numId w:val="17"/>
        </w:numPr>
      </w:pPr>
      <w:r>
        <w:t>precision</w:t>
      </w:r>
    </w:p>
    <w:p w:rsidR="00A14843" w:rsidRDefault="00990D30">
      <w:pPr>
        <w:pStyle w:val="Compact"/>
        <w:numPr>
          <w:ilvl w:val="0"/>
          <w:numId w:val="3"/>
        </w:numPr>
      </w:pPr>
      <w:r>
        <w:rPr>
          <w:b/>
        </w:rPr>
        <w:t>Maintain compatibility with legacy PSPAP data</w:t>
      </w:r>
    </w:p>
    <w:p w:rsidR="00A14843" w:rsidRDefault="00990D30">
      <w:pPr>
        <w:pStyle w:val="Compact"/>
        <w:numPr>
          <w:ilvl w:val="1"/>
          <w:numId w:val="18"/>
        </w:numPr>
      </w:pPr>
      <w:r>
        <w:t>Proportion o</w:t>
      </w:r>
      <w:r>
        <w:t>f randomly selected bends within segment</w:t>
      </w:r>
    </w:p>
    <w:p w:rsidR="00A14843" w:rsidRDefault="00990D30">
      <w:pPr>
        <w:pStyle w:val="Compact"/>
        <w:numPr>
          <w:ilvl w:val="1"/>
          <w:numId w:val="18"/>
        </w:numPr>
      </w:pPr>
      <w:r>
        <w:t>Gears similarity: proportion of standard gears used by design</w:t>
      </w:r>
    </w:p>
    <w:p w:rsidR="00A14843" w:rsidRDefault="00990D30">
      <w:pPr>
        <w:pStyle w:val="Compact"/>
        <w:numPr>
          <w:ilvl w:val="1"/>
          <w:numId w:val="18"/>
        </w:numPr>
      </w:pPr>
      <w:r>
        <w:t>Effort similarity: deviation from average effort</w:t>
      </w:r>
    </w:p>
    <w:p w:rsidR="00A14843" w:rsidRDefault="00990D30">
      <w:pPr>
        <w:pStyle w:val="Compact"/>
        <w:numPr>
          <w:ilvl w:val="0"/>
          <w:numId w:val="3"/>
        </w:numPr>
      </w:pPr>
      <w:r>
        <w:rPr>
          <w:b/>
        </w:rPr>
        <w:t>Stay below cost constraints</w:t>
      </w:r>
    </w:p>
    <w:p w:rsidR="00A14843" w:rsidRDefault="00990D30">
      <w:pPr>
        <w:pStyle w:val="Compact"/>
        <w:numPr>
          <w:ilvl w:val="1"/>
          <w:numId w:val="19"/>
        </w:numPr>
      </w:pPr>
      <w:r>
        <w:t>Minimize costs</w:t>
      </w:r>
    </w:p>
    <w:p w:rsidR="001D679C" w:rsidRDefault="001D679C" w:rsidP="001D679C">
      <w:pPr>
        <w:pStyle w:val="Compact"/>
      </w:pPr>
    </w:p>
    <w:p w:rsidR="001D679C" w:rsidRDefault="001D679C" w:rsidP="009C1FAD">
      <w:pPr>
        <w:pStyle w:val="Heading1"/>
      </w:pPr>
      <w:r>
        <w:t>Timeline</w:t>
      </w:r>
    </w:p>
    <w:p w:rsidR="001D679C" w:rsidRDefault="001D679C" w:rsidP="001D679C">
      <w:pPr>
        <w:pStyle w:val="Compact"/>
      </w:pPr>
    </w:p>
    <w:p w:rsidR="001D679C" w:rsidRPr="00611C46" w:rsidRDefault="001D679C" w:rsidP="001D679C">
      <w:pPr>
        <w:pStyle w:val="Compact"/>
      </w:pPr>
      <w:r>
        <w:t xml:space="preserve">The timeline below </w:t>
      </w:r>
      <w:r w:rsidR="00FD54AD">
        <w:t>represents</w:t>
      </w:r>
      <w:r>
        <w:t xml:space="preserve"> an aggressive timeline to achieve preliminary results for alternative monitoring designs. </w:t>
      </w:r>
      <w:r w:rsidR="00FD54AD">
        <w:t xml:space="preserve"> It should be recognized that this timeline may and likely will change due to varying factors such as simulation time constraints and so on. </w:t>
      </w:r>
      <w:r w:rsidR="009C1FAD">
        <w:t xml:space="preserve">The aggressive timeline will promote initial evaluation and allow for a revision and refinement process. </w:t>
      </w:r>
      <w:r w:rsidR="00FD54AD">
        <w:t xml:space="preserve">There will be continuous input requested from USACE and USFWS to clarify </w:t>
      </w:r>
      <w:r w:rsidR="00FD54AD" w:rsidRPr="00611C46">
        <w:t xml:space="preserve">objectives but USACE and USFWS input will be critical </w:t>
      </w:r>
      <w:r w:rsidR="00611C46" w:rsidRPr="00611C46">
        <w:t>to clarify and revise objectives</w:t>
      </w:r>
      <w:r w:rsidR="00FD54AD" w:rsidRPr="00611C46">
        <w:t xml:space="preserve">.  </w:t>
      </w:r>
    </w:p>
    <w:p w:rsidR="00611C46" w:rsidRPr="00611C46" w:rsidRDefault="00611C46" w:rsidP="001D679C">
      <w:pPr>
        <w:pStyle w:val="Compact"/>
      </w:pPr>
    </w:p>
    <w:tbl>
      <w:tblPr>
        <w:tblW w:w="6874" w:type="dxa"/>
        <w:jc w:val="center"/>
        <w:tblLook w:val="04A0" w:firstRow="1" w:lastRow="0" w:firstColumn="1" w:lastColumn="0" w:noHBand="0" w:noVBand="1"/>
      </w:tblPr>
      <w:tblGrid>
        <w:gridCol w:w="4540"/>
        <w:gridCol w:w="1382"/>
        <w:gridCol w:w="1382"/>
      </w:tblGrid>
      <w:tr w:rsidR="00611C46" w:rsidRPr="00611C46" w:rsidTr="0028172D">
        <w:trPr>
          <w:trHeight w:val="300"/>
          <w:jc w:val="center"/>
        </w:trPr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Timeline component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</w:t>
            </w:r>
            <w:r w:rsidRPr="00611C46">
              <w:rPr>
                <w:rFonts w:eastAsia="Times New Roman" w:cs="Times New Roman"/>
                <w:color w:val="000000"/>
              </w:rPr>
              <w:t>tart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</w:t>
            </w:r>
            <w:r w:rsidRPr="00611C46">
              <w:rPr>
                <w:rFonts w:eastAsia="Times New Roman" w:cs="Times New Roman"/>
                <w:color w:val="000000"/>
              </w:rPr>
              <w:t>nd</w:t>
            </w:r>
          </w:p>
        </w:tc>
      </w:tr>
      <w:tr w:rsidR="00611C46" w:rsidRPr="00611C46" w:rsidTr="0028172D">
        <w:trPr>
          <w:trHeight w:val="300"/>
          <w:jc w:val="center"/>
        </w:trPr>
        <w:tc>
          <w:tcPr>
            <w:tcW w:w="4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Effort analysis &amp; appendix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3/28/2017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4/7/2017</w:t>
            </w:r>
          </w:p>
        </w:tc>
      </w:tr>
      <w:tr w:rsidR="00611C46" w:rsidRPr="00611C46" w:rsidTr="0028172D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Objectives hierarchy and attributes*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3/28/2017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4/14/2017</w:t>
            </w:r>
          </w:p>
        </w:tc>
      </w:tr>
      <w:tr w:rsidR="00611C46" w:rsidRPr="00611C46" w:rsidTr="008E6EAE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 xml:space="preserve">Preliminary population run (10 </w:t>
            </w:r>
            <w:proofErr w:type="spellStart"/>
            <w:r w:rsidRPr="00611C46">
              <w:rPr>
                <w:rFonts w:eastAsia="Times New Roman" w:cs="Times New Roman"/>
                <w:color w:val="000000"/>
              </w:rPr>
              <w:t>yrs</w:t>
            </w:r>
            <w:proofErr w:type="spellEnd"/>
            <w:r w:rsidRPr="00611C46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4/14/2017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5/12/2017</w:t>
            </w:r>
          </w:p>
        </w:tc>
      </w:tr>
      <w:tr w:rsidR="00611C46" w:rsidRPr="00611C46" w:rsidTr="008E6EAE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Robust design sampling simulation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4/26/2017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5/24/2017</w:t>
            </w:r>
          </w:p>
        </w:tc>
      </w:tr>
      <w:tr w:rsidR="00611C46" w:rsidRPr="00611C46" w:rsidTr="008E6EAE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Abundance and relative abun</w:t>
            </w:r>
            <w:bookmarkStart w:id="4" w:name="_GoBack"/>
            <w:bookmarkEnd w:id="4"/>
            <w:r w:rsidRPr="00611C46">
              <w:rPr>
                <w:rFonts w:eastAsia="Times New Roman" w:cs="Times New Roman"/>
                <w:color w:val="000000"/>
              </w:rPr>
              <w:t>dance estimation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4/26/2017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5/24/2017</w:t>
            </w:r>
          </w:p>
        </w:tc>
      </w:tr>
      <w:tr w:rsidR="00611C46" w:rsidRPr="00611C46" w:rsidTr="008E6EAE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Demographic rate estimation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5/20/2017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6/17/2017</w:t>
            </w:r>
          </w:p>
        </w:tc>
      </w:tr>
      <w:tr w:rsidR="00611C46" w:rsidRPr="00611C46" w:rsidTr="0028172D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Preliminary objectives valuation*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6/17/2017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6/24/2017</w:t>
            </w:r>
          </w:p>
        </w:tc>
      </w:tr>
      <w:tr w:rsidR="00611C46" w:rsidRPr="00611C46" w:rsidTr="0028172D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Refining and revision*</w:t>
            </w:r>
          </w:p>
        </w:tc>
        <w:tc>
          <w:tcPr>
            <w:tcW w:w="11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6/24/2017</w:t>
            </w:r>
          </w:p>
        </w:tc>
        <w:tc>
          <w:tcPr>
            <w:tcW w:w="11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7/22/2017</w:t>
            </w:r>
          </w:p>
        </w:tc>
      </w:tr>
      <w:tr w:rsidR="00611C46" w:rsidRPr="00611C46" w:rsidTr="0028172D">
        <w:trPr>
          <w:trHeight w:val="300"/>
          <w:jc w:val="center"/>
        </w:trPr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Preliminary write up and documentation*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C46" w:rsidRPr="00611C46" w:rsidRDefault="00611C46" w:rsidP="00611C46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611C46">
              <w:rPr>
                <w:rFonts w:eastAsia="Times New Roman" w:cs="Times New Roman"/>
                <w:color w:val="000000"/>
              </w:rPr>
              <w:t>7/22/2017</w:t>
            </w:r>
          </w:p>
        </w:tc>
      </w:tr>
    </w:tbl>
    <w:p w:rsidR="00611C46" w:rsidRDefault="00611C46" w:rsidP="001D679C">
      <w:pPr>
        <w:pStyle w:val="Compact"/>
      </w:pPr>
      <w:r w:rsidRPr="00611C46">
        <w:t>* Timeline components where USACE, USFWS and state</w:t>
      </w:r>
      <w:r>
        <w:t xml:space="preserve"> agencies input will be requested. </w:t>
      </w:r>
    </w:p>
    <w:sectPr w:rsidR="00611C4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 Colvin" w:date="2017-04-17T20:20:00Z" w:initials="MC">
    <w:p w:rsidR="00047BAB" w:rsidRDefault="00047BAB">
      <w:pPr>
        <w:pStyle w:val="CommentText"/>
      </w:pPr>
      <w:r>
        <w:rPr>
          <w:rStyle w:val="CommentReference"/>
        </w:rPr>
        <w:annotationRef/>
      </w:r>
      <w:r>
        <w:t>Is this true abundance or relative abundance</w:t>
      </w:r>
    </w:p>
  </w:comment>
  <w:comment w:id="2" w:author="Michael Colvin" w:date="2017-04-17T20:20:00Z" w:initials="MC">
    <w:p w:rsidR="00047BAB" w:rsidRDefault="00047BAB">
      <w:pPr>
        <w:pStyle w:val="CommentText"/>
      </w:pPr>
      <w:r>
        <w:rPr>
          <w:rStyle w:val="CommentReference"/>
        </w:rPr>
        <w:annotationRef/>
      </w:r>
      <w:r>
        <w:t>What does population refer to? Is it all RPMAs or RPMA specific?</w:t>
      </w:r>
    </w:p>
  </w:comment>
  <w:comment w:id="3" w:author="Michael Colvin" w:date="2017-04-17T20:21:00Z" w:initials="MC">
    <w:p w:rsidR="00047BAB" w:rsidRDefault="00047BAB">
      <w:pPr>
        <w:pStyle w:val="CommentText"/>
      </w:pPr>
      <w:r>
        <w:rPr>
          <w:rStyle w:val="CommentReference"/>
        </w:rPr>
        <w:annotationRef/>
      </w:r>
      <w:r>
        <w:t xml:space="preserve">What is the time for lambda? 5 years, 10 years?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30" w:rsidRDefault="00990D30">
      <w:pPr>
        <w:spacing w:after="0"/>
      </w:pPr>
      <w:r>
        <w:separator/>
      </w:r>
    </w:p>
  </w:endnote>
  <w:endnote w:type="continuationSeparator" w:id="0">
    <w:p w:rsidR="00990D30" w:rsidRDefault="00990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30" w:rsidRDefault="00990D30">
      <w:r>
        <w:separator/>
      </w:r>
    </w:p>
  </w:footnote>
  <w:footnote w:type="continuationSeparator" w:id="0">
    <w:p w:rsidR="00990D30" w:rsidRDefault="00990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78454"/>
    <w:multiLevelType w:val="multilevel"/>
    <w:tmpl w:val="DD9C38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986B3B"/>
    <w:multiLevelType w:val="multilevel"/>
    <w:tmpl w:val="CC8CC0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43E2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8BEE11"/>
    <w:multiLevelType w:val="multilevel"/>
    <w:tmpl w:val="C68EA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7BAB"/>
    <w:rsid w:val="001D679C"/>
    <w:rsid w:val="00281675"/>
    <w:rsid w:val="0028172D"/>
    <w:rsid w:val="004E29B3"/>
    <w:rsid w:val="00590D07"/>
    <w:rsid w:val="00611C46"/>
    <w:rsid w:val="00784D58"/>
    <w:rsid w:val="008D6863"/>
    <w:rsid w:val="008E6EAE"/>
    <w:rsid w:val="00990D30"/>
    <w:rsid w:val="009C1FAD"/>
    <w:rsid w:val="00A14843"/>
    <w:rsid w:val="00B86B75"/>
    <w:rsid w:val="00BC48D5"/>
    <w:rsid w:val="00C36279"/>
    <w:rsid w:val="00E315A3"/>
    <w:rsid w:val="00FD54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30303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ascii="Consolas" w:hAnsi="Consolas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ascii="Consolas" w:hAnsi="Consolas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ascii="Consolas" w:hAnsi="Consolas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ascii="Consolas" w:hAnsi="Consolas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ascii="Consolas" w:hAnsi="Consolas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ascii="Consolas" w:hAnsi="Consolas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ascii="Consolas" w:hAnsi="Consolas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ascii="Consolas" w:hAnsi="Consolas"/>
      <w:color w:val="CCCCCC"/>
      <w:sz w:val="22"/>
      <w:shd w:val="clear" w:color="auto" w:fill="303030"/>
    </w:rPr>
  </w:style>
  <w:style w:type="paragraph" w:styleId="BalloonText">
    <w:name w:val="Balloon Text"/>
    <w:basedOn w:val="Normal"/>
    <w:link w:val="BalloonTextChar"/>
    <w:rsid w:val="00047B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B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47B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7B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7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47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7BA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PSPAP Workshop Objectives hierarchy</vt:lpstr>
    </vt:vector>
  </TitlesOfParts>
  <Company>Microsoft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PSPAP Workshop Objectives hierarchy</dc:title>
  <dc:creator/>
  <cp:lastModifiedBy>Michael Colvin</cp:lastModifiedBy>
  <cp:revision>5</cp:revision>
  <dcterms:created xsi:type="dcterms:W3CDTF">2017-04-13T18:14:00Z</dcterms:created>
  <dcterms:modified xsi:type="dcterms:W3CDTF">2017-04-18T01:59:00Z</dcterms:modified>
</cp:coreProperties>
</file>