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03</w:t>
      </w:r>
      <w:r>
        <w:t xml:space="preserve"> </w:t>
      </w:r>
      <w:r>
        <w:t xml:space="preserve">November,</w:t>
      </w:r>
      <w:r>
        <w:t xml:space="preserve"> </w:t>
      </w:r>
      <w:r>
        <w:t xml:space="preserve">2017</w:t>
      </w:r>
    </w:p>
    <w:p>
      <w:pPr>
        <w:pStyle w:val="Heading1"/>
      </w:pPr>
      <w:bookmarkStart w:id="21" w:name="objectives-hierarchy-and-attributes"/>
      <w:bookmarkEnd w:id="21"/>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1"/>
          <w:ilvl w:val="0"/>
        </w:numPr>
      </w:pPr>
      <w:r>
        <w:rPr>
          <w:b/>
        </w:rPr>
        <w:t xml:space="preserve">Quantify PS recruitment to age-1 (Natural origin)</w:t>
      </w:r>
    </w:p>
    <w:p>
      <w:pPr>
        <w:pStyle w:val="Compact"/>
        <w:numPr>
          <w:numId w:val="1002"/>
          <w:ilvl w:val="1"/>
        </w:numPr>
      </w:pPr>
      <w:r>
        <w:t xml:space="preserve">Power to detect age-1 natural origin recruits if recruitment occurs</w:t>
      </w:r>
    </w:p>
    <w:p>
      <w:pPr>
        <w:pStyle w:val="Compact"/>
        <w:numPr>
          <w:numId w:val="1002"/>
          <w:ilvl w:val="1"/>
        </w:numPr>
      </w:pPr>
      <w:r>
        <w:t xml:space="preserve">Segment level age-1 abundance</w:t>
      </w:r>
      <w:r>
        <w:t xml:space="preserve"> </w:t>
      </w:r>
    </w:p>
    <w:p>
      <w:pPr>
        <w:pStyle w:val="Compact"/>
        <w:numPr>
          <w:numId w:val="1003"/>
          <w:ilvl w:val="2"/>
        </w:numPr>
      </w:pPr>
      <w:r>
        <w:t xml:space="preserve">bias</w:t>
      </w:r>
    </w:p>
    <w:p>
      <w:pPr>
        <w:pStyle w:val="Compact"/>
        <w:numPr>
          <w:numId w:val="1003"/>
          <w:ilvl w:val="2"/>
        </w:numPr>
      </w:pPr>
      <w:r>
        <w:t xml:space="preserve">precision</w:t>
      </w:r>
    </w:p>
    <w:p>
      <w:pPr>
        <w:pStyle w:val="Compact"/>
        <w:numPr>
          <w:numId w:val="1002"/>
          <w:ilvl w:val="1"/>
        </w:numPr>
      </w:pPr>
      <w:r>
        <w:t xml:space="preserve">Estimate age-1 recruitment rate (natural origin)</w:t>
      </w:r>
    </w:p>
    <w:p>
      <w:pPr>
        <w:pStyle w:val="Compact"/>
        <w:numPr>
          <w:numId w:val="1004"/>
          <w:ilvl w:val="2"/>
        </w:numPr>
      </w:pPr>
      <w:r>
        <w:t xml:space="preserve">bias</w:t>
      </w:r>
    </w:p>
    <w:p>
      <w:pPr>
        <w:pStyle w:val="Compact"/>
        <w:numPr>
          <w:numId w:val="1004"/>
          <w:ilvl w:val="2"/>
        </w:numPr>
      </w:pPr>
      <w:r>
        <w:t xml:space="preserve">precision</w:t>
      </w:r>
    </w:p>
    <w:p>
      <w:pPr>
        <w:pStyle w:val="Compact"/>
        <w:numPr>
          <w:numId w:val="1001"/>
          <w:ilvl w:val="0"/>
        </w:numPr>
      </w:pPr>
      <w:r>
        <w:rPr>
          <w:b/>
        </w:rPr>
        <w:t xml:space="preserve">Quantify PS population trend (natural and hatchery origin)</w:t>
      </w:r>
    </w:p>
    <w:p>
      <w:pPr>
        <w:pStyle w:val="Compact"/>
        <w:numPr>
          <w:numId w:val="1005"/>
          <w:ilvl w:val="1"/>
        </w:numPr>
      </w:pPr>
      <w:r>
        <w:t xml:space="preserve">Estimate RPMA level population growth rate</w:t>
      </w:r>
      <w:r>
        <w:t xml:space="preserve"> </w:t>
      </w:r>
      <m:oMath>
        <m:r>
          <m:t>λ</m:t>
        </m:r>
      </m:oMath>
      <w:r>
        <w:t xml:space="preserve"> </w:t>
      </w:r>
    </w:p>
    <w:p>
      <w:pPr>
        <w:pStyle w:val="Compact"/>
        <w:numPr>
          <w:numId w:val="1006"/>
          <w:ilvl w:val="2"/>
        </w:numPr>
      </w:pPr>
      <w:r>
        <w:t xml:space="preserve">bias</w:t>
      </w:r>
    </w:p>
    <w:p>
      <w:pPr>
        <w:pStyle w:val="Compact"/>
        <w:numPr>
          <w:numId w:val="1006"/>
          <w:ilvl w:val="2"/>
        </w:numPr>
      </w:pPr>
      <w:r>
        <w:t xml:space="preserve">precision</w:t>
      </w:r>
    </w:p>
    <w:p>
      <w:pPr>
        <w:pStyle w:val="Compact"/>
        <w:numPr>
          <w:numId w:val="1001"/>
          <w:ilvl w:val="0"/>
        </w:numPr>
      </w:pPr>
      <w:r>
        <w:rPr>
          <w:b/>
        </w:rPr>
        <w:t xml:space="preserve">Provide relevant PS model inputs</w:t>
      </w:r>
    </w:p>
    <w:p>
      <w:pPr>
        <w:pStyle w:val="Compact"/>
        <w:numPr>
          <w:numId w:val="1007"/>
          <w:ilvl w:val="1"/>
        </w:numPr>
      </w:pPr>
      <w:r>
        <w:t xml:space="preserve">Estimate segment-level abundance, origin and stage specific</w:t>
      </w:r>
    </w:p>
    <w:p>
      <w:pPr>
        <w:pStyle w:val="Compact"/>
        <w:numPr>
          <w:numId w:val="1008"/>
          <w:ilvl w:val="2"/>
        </w:numPr>
      </w:pPr>
      <w:r>
        <w:t xml:space="preserve">bias</w:t>
      </w:r>
    </w:p>
    <w:p>
      <w:pPr>
        <w:pStyle w:val="Compact"/>
        <w:numPr>
          <w:numId w:val="1008"/>
          <w:ilvl w:val="2"/>
        </w:numPr>
      </w:pPr>
      <w:r>
        <w:t xml:space="preserve">precision</w:t>
      </w:r>
    </w:p>
    <w:p>
      <w:pPr>
        <w:pStyle w:val="Compact"/>
        <w:numPr>
          <w:numId w:val="1008"/>
          <w:ilvl w:val="2"/>
        </w:numPr>
      </w:pPr>
      <w:r>
        <w:t xml:space="preserve">spatial distribution</w:t>
      </w:r>
    </w:p>
    <w:p>
      <w:pPr>
        <w:pStyle w:val="Compact"/>
        <w:numPr>
          <w:numId w:val="1007"/>
          <w:ilvl w:val="1"/>
        </w:numPr>
      </w:pPr>
      <w:r>
        <w:t xml:space="preserve">Survival (RPMA level)</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7"/>
          <w:ilvl w:val="1"/>
        </w:numPr>
      </w:pPr>
      <w:r>
        <w:t xml:space="preserve">Fecundity (RPMA level)</w:t>
      </w:r>
    </w:p>
    <w:p>
      <w:pPr>
        <w:pStyle w:val="Compact"/>
        <w:numPr>
          <w:numId w:val="1010"/>
          <w:ilvl w:val="2"/>
        </w:numPr>
      </w:pPr>
      <w:r>
        <w:t xml:space="preserve">bias</w:t>
      </w:r>
    </w:p>
    <w:p>
      <w:pPr>
        <w:pStyle w:val="Compact"/>
        <w:numPr>
          <w:numId w:val="1010"/>
          <w:ilvl w:val="2"/>
        </w:numPr>
      </w:pPr>
      <w:r>
        <w:t xml:space="preserve">precision</w:t>
      </w:r>
    </w:p>
    <w:p>
      <w:pPr>
        <w:pStyle w:val="Compact"/>
        <w:numPr>
          <w:numId w:val="1007"/>
          <w:ilvl w:val="1"/>
        </w:numPr>
      </w:pPr>
      <w:r>
        <w:t xml:space="preserve">Growth (RPMA)</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07"/>
          <w:ilvl w:val="1"/>
        </w:numPr>
      </w:pPr>
      <w:r>
        <w:t xml:space="preserve">Movement</w:t>
      </w:r>
    </w:p>
    <w:p>
      <w:pPr>
        <w:pStyle w:val="Compact"/>
        <w:numPr>
          <w:numId w:val="1012"/>
          <w:ilvl w:val="2"/>
        </w:numPr>
      </w:pPr>
      <w:r>
        <w:t xml:space="preserve">fidelity</w:t>
      </w:r>
    </w:p>
    <w:p>
      <w:pPr>
        <w:pStyle w:val="Compact"/>
        <w:numPr>
          <w:numId w:val="1012"/>
          <w:ilvl w:val="2"/>
        </w:numPr>
      </w:pPr>
      <w:r>
        <w:t xml:space="preserve">among segment movement</w:t>
      </w:r>
    </w:p>
    <w:p>
      <w:pPr>
        <w:pStyle w:val="Compact"/>
        <w:numPr>
          <w:numId w:val="1007"/>
          <w:ilvl w:val="1"/>
        </w:numPr>
      </w:pPr>
      <w:r>
        <w:t xml:space="preserve">Population structure and characteristics (segment level)</w:t>
      </w:r>
    </w:p>
    <w:p>
      <w:pPr>
        <w:pStyle w:val="Compact"/>
        <w:numPr>
          <w:numId w:val="1013"/>
          <w:ilvl w:val="2"/>
        </w:numPr>
      </w:pPr>
      <w:r>
        <w:t xml:space="preserve">Size structure</w:t>
      </w:r>
    </w:p>
    <w:p>
      <w:pPr>
        <w:pStyle w:val="Compact"/>
        <w:numPr>
          <w:numId w:val="1014"/>
          <w:ilvl w:val="3"/>
        </w:numPr>
      </w:pPr>
      <w:r>
        <w:t xml:space="preserve">bias</w:t>
      </w:r>
    </w:p>
    <w:p>
      <w:pPr>
        <w:pStyle w:val="Compact"/>
        <w:numPr>
          <w:numId w:val="1014"/>
          <w:ilvl w:val="3"/>
        </w:numPr>
      </w:pPr>
      <w:r>
        <w:t xml:space="preserve">precision</w:t>
      </w:r>
    </w:p>
    <w:p>
      <w:pPr>
        <w:pStyle w:val="Compact"/>
        <w:numPr>
          <w:numId w:val="1007"/>
          <w:ilvl w:val="1"/>
        </w:numPr>
      </w:pPr>
      <w:r>
        <w:t xml:space="preserve">Sex ratio (segment level)</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01"/>
          <w:ilvl w:val="0"/>
        </w:numPr>
      </w:pPr>
      <w:r>
        <w:rPr>
          <w:b/>
        </w:rPr>
        <w:t xml:space="preserve">Maintain compatibility with legacy PSPAP data</w:t>
      </w:r>
      <w:r>
        <w:t xml:space="preserve"> </w:t>
      </w:r>
    </w:p>
    <w:p>
      <w:pPr>
        <w:pStyle w:val="Compact"/>
        <w:numPr>
          <w:numId w:val="1016"/>
          <w:ilvl w:val="1"/>
        </w:numPr>
      </w:pPr>
      <w:r>
        <w:t xml:space="preserve">Proportion of randomly selected bends within segment</w:t>
      </w:r>
    </w:p>
    <w:p>
      <w:pPr>
        <w:pStyle w:val="Compact"/>
        <w:numPr>
          <w:numId w:val="1016"/>
          <w:ilvl w:val="1"/>
        </w:numPr>
      </w:pPr>
      <w:r>
        <w:t xml:space="preserve">Gears similarity: proportion of standard gears used by design</w:t>
      </w:r>
    </w:p>
    <w:p>
      <w:pPr>
        <w:pStyle w:val="Compact"/>
        <w:numPr>
          <w:numId w:val="1016"/>
          <w:ilvl w:val="1"/>
        </w:numPr>
      </w:pPr>
      <w:r>
        <w:t xml:space="preserve">Effort similarity: deviation from average effort</w:t>
      </w:r>
    </w:p>
    <w:p>
      <w:pPr>
        <w:pStyle w:val="Compact"/>
        <w:numPr>
          <w:numId w:val="1001"/>
          <w:ilvl w:val="0"/>
        </w:numPr>
      </w:pPr>
      <w:r>
        <w:rPr>
          <w:b/>
        </w:rPr>
        <w:t xml:space="preserve">Stay below cost constraints</w:t>
      </w:r>
    </w:p>
    <w:p>
      <w:pPr>
        <w:pStyle w:val="Compact"/>
        <w:numPr>
          <w:numId w:val="1017"/>
          <w:ilvl w:val="1"/>
        </w:numPr>
      </w:pPr>
      <w:r>
        <w:t xml:space="preserve">Minimize costs</w:t>
      </w:r>
    </w:p>
    <w:p>
      <w:pPr>
        <w:pStyle w:val="Heading1"/>
      </w:pPr>
      <w:bookmarkStart w:id="22" w:name="evaluation-context-for-the-pspap-v.-2.0"/>
      <w:bookmarkEnd w:id="22"/>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18"/>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19"/>
          <w:ilvl w:val="1"/>
        </w:numPr>
      </w:pPr>
      <w:r>
        <w:t xml:space="preserve">Discern status and trends of the pallid sturgeon population; serve</w:t>
      </w:r>
      <w:r>
        <w:t xml:space="preserve"> </w:t>
      </w:r>
      <w:r>
        <w:t xml:space="preserve">as validation of model predictions.</w:t>
      </w:r>
    </w:p>
    <w:p>
      <w:pPr>
        <w:pStyle w:val="Compact"/>
        <w:numPr>
          <w:numId w:val="1019"/>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18"/>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18"/>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18"/>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20"/>
          <w:ilvl w:val="0"/>
        </w:numPr>
      </w:pPr>
      <w:r>
        <w:t xml:space="preserve">March 21, 2017: Workshop developing objective hierarchy and elicit</w:t>
      </w:r>
      <w:r>
        <w:t xml:space="preserve"> </w:t>
      </w:r>
      <w:r>
        <w:t xml:space="preserve">logistical sampling information from stakeholders</w:t>
      </w:r>
    </w:p>
    <w:p>
      <w:pPr>
        <w:pStyle w:val="Compact"/>
        <w:numPr>
          <w:numId w:val="1020"/>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20"/>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20"/>
          <w:ilvl w:val="0"/>
        </w:numPr>
      </w:pPr>
      <w:r>
        <w:t xml:space="preserve">October 2017: Complete white paper for ISAP review.</w:t>
      </w:r>
    </w:p>
    <w:p>
      <w:pPr>
        <w:pStyle w:val="Compact"/>
        <w:numPr>
          <w:numId w:val="1020"/>
          <w:ilvl w:val="0"/>
        </w:numPr>
      </w:pPr>
      <w:r>
        <w:t xml:space="preserve">Late Fall 2017: Meeting to present design results to agencies, stakeholders.</w:t>
      </w:r>
    </w:p>
    <w:p>
      <w:pPr>
        <w:pStyle w:val="Compact"/>
        <w:numPr>
          <w:numId w:val="1020"/>
          <w:ilvl w:val="0"/>
        </w:numPr>
      </w:pPr>
      <w:r>
        <w:t xml:space="preserve">December 2017: Deliver draft PSPAP v. 2.0 sample-design report.</w:t>
      </w:r>
    </w:p>
    <w:p>
      <w:pPr>
        <w:pStyle w:val="Compact"/>
        <w:numPr>
          <w:numId w:val="1020"/>
          <w:ilvl w:val="0"/>
        </w:numPr>
      </w:pPr>
      <w:r>
        <w:t xml:space="preserve">Winter 2017-2018: Agency review, ISAP review, and revisions</w:t>
      </w:r>
    </w:p>
    <w:p>
      <w:pPr>
        <w:pStyle w:val="Compact"/>
        <w:numPr>
          <w:numId w:val="1020"/>
          <w:ilvl w:val="0"/>
        </w:numPr>
      </w:pPr>
      <w:r>
        <w:t xml:space="preserve">Spring 2018: Implement the design on a pilot basis.</w:t>
      </w:r>
    </w:p>
    <w:p>
      <w:pPr>
        <w:pStyle w:val="Compact"/>
        <w:numPr>
          <w:numId w:val="1020"/>
          <w:ilvl w:val="0"/>
        </w:numPr>
      </w:pPr>
      <w:r>
        <w:t xml:space="preserve">Spring – Fall 2018: Revise, refine models and protocol. Finalize</w:t>
      </w:r>
      <w:r>
        <w:t xml:space="preserve"> </w:t>
      </w:r>
      <w:r>
        <w:t xml:space="preserve">design report.</w:t>
      </w:r>
    </w:p>
    <w:p>
      <w:pPr>
        <w:pStyle w:val="Compact"/>
        <w:numPr>
          <w:numId w:val="1020"/>
          <w:ilvl w:val="0"/>
        </w:numPr>
      </w:pPr>
      <w:r>
        <w:t xml:space="preserve">Spring 2019: Implement PSPAP v. 2.0.</w:t>
      </w:r>
    </w:p>
    <w:p>
      <w:pPr>
        <w:pStyle w:val="Heading1"/>
      </w:pPr>
      <w:bookmarkStart w:id="23" w:name="background-of-pspap-v.-2.0-design"/>
      <w:bookmarkEnd w:id="23"/>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4" w:name="redesign-objectives"/>
      <w:bookmarkEnd w:id="24"/>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5" w:name="pspap-stakeholders-and-eliciting-monitoring-objectives"/>
      <w:bookmarkEnd w:id="25"/>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6"/>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7" w:name="translate-nodes-in-influence-diagram-to-quantifiable-metrics"/>
      <w:bookmarkEnd w:id="27"/>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8" w:name="simulate-the-likely-outcomes-for-a-node-conditional-on-influencing-nodes"/>
      <w:bookmarkEnd w:id="28"/>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9" w:name="simulate-a-reference-ps-population"/>
      <w:bookmarkEnd w:id="29"/>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30"/>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1" w:name="simulate-sampling-catch-data"/>
      <w:bookmarkEnd w:id="31"/>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2" w:name="estimate-metrics-from-the-catch-data"/>
      <w:bookmarkEnd w:id="32"/>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3" w:name="compare-the-estimates-to-the-true-values"/>
      <w:bookmarkEnd w:id="33"/>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4" w:name="additional-considerations-and-summary"/>
      <w:bookmarkEnd w:id="34"/>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5" w:name="figures"/>
      <w:bookmarkEnd w:id="35"/>
      <w:r>
        <w:t xml:space="preserve">Figures</w:t>
      </w:r>
    </w:p>
    <w:p>
      <w:pPr>
        <w:pStyle w:val="FirstParagraph"/>
      </w:pPr>
      <w:r>
        <w:drawing>
          <wp:inline>
            <wp:extent cx="5334000" cy="3987609"/>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36"/>
                    <a:stretch>
                      <a:fillRect/>
                    </a:stretch>
                  </pic:blipFill>
                  <pic:spPr bwMode="auto">
                    <a:xfrm>
                      <a:off x="0" y="0"/>
                      <a:ext cx="5334000" cy="3987609"/>
                    </a:xfrm>
                    <a:prstGeom prst="rect">
                      <a:avLst/>
                    </a:prstGeom>
                    <a:noFill/>
                    <a:ln w="9525">
                      <a:noFill/>
                      <a:headEnd/>
                      <a:tailEnd/>
                    </a:ln>
                  </pic:spPr>
                </pic:pic>
              </a:graphicData>
            </a:graphic>
          </wp:inline>
        </w:drawing>
      </w:r>
    </w:p>
    <w:p>
      <w:pPr>
        <w:pStyle w:val="Heading1"/>
      </w:pPr>
      <w:bookmarkStart w:id="37" w:name="references"/>
      <w:bookmarkEnd w:id="3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PSPAP stakeholders are differentiated from MRRP stakeholders. PSPAP stakeholders are agencies, institutions, or individuals that have been actively involved in pallid sturgeon population assessments, or that regularly use the data from population assessments. MRRP stakeholders are groups with a stake in management of the Missouri River as represented on MRRIC.</w:t>
      </w:r>
    </w:p>
  </w:footnote>
  <w:footnote w:id="30">
    <w:p>
      <w:pPr>
        <w:pStyle w:val="FootnoteText"/>
      </w:pPr>
      <w:r>
        <w:rPr>
          <w:rStyle w:val="FootnoteReference"/>
        </w:rPr>
        <w:footnoteRef/>
      </w:r>
      <w:r>
        <w:t xml:space="preserve"> </w:t>
      </w:r>
      <w:r>
        <w:t xml:space="preserve">Basin refers to the upper basin mainstem rivers (Upper Missouri River and Yellowstone River) and lower basin mainstem rivers (Lower Missouri River downstream from Gavins Point Dam, potential tributaries, and the Middle Mississippi River to an unspecified extent downstream from the confluence with the Missouri River).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64ec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e927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a016a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2017-11-03T22:01:43Z</dcterms:created>
  <dcterms:modified xsi:type="dcterms:W3CDTF">2017-11-03T22:01:43Z</dcterms:modified>
</cp:coreProperties>
</file>