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03F" w:rsidRDefault="00890DA1">
      <w:pPr>
        <w:pStyle w:val="Heading2"/>
      </w:pPr>
      <w:bookmarkStart w:id="0" w:name="analysis-metadata"/>
      <w:bookmarkEnd w:id="0"/>
      <w:r>
        <w:t>Analysis metadata</w:t>
      </w:r>
    </w:p>
    <w:p w:rsidR="0081703F" w:rsidRDefault="00890DA1">
      <w:pPr>
        <w:pStyle w:val="FirstParagraph"/>
      </w:pPr>
      <w:r>
        <w:t>Requestor: Steve Krentz USFWS</w:t>
      </w:r>
      <w:r>
        <w:br/>
        <w:t>Analyst: Mike Colvin MS State</w:t>
      </w:r>
      <w:r>
        <w:br/>
        <w:t>Analysis ID: 2016-001 Version: 02 GitHub commit reference: f6a8565</w:t>
      </w:r>
      <w:r>
        <w:br/>
        <w:t>Inputs and Outputs file: 2016-001-02-output.rds</w:t>
      </w:r>
    </w:p>
    <w:p w:rsidR="0081703F" w:rsidRDefault="00890DA1">
      <w:pPr>
        <w:pStyle w:val="Heading2"/>
      </w:pPr>
      <w:bookmarkStart w:id="1" w:name="analysis-log"/>
      <w:bookmarkEnd w:id="1"/>
      <w:r>
        <w:t>Analysis log</w:t>
      </w:r>
    </w:p>
    <w:p w:rsidR="0081703F" w:rsidRDefault="00890DA1">
      <w:pPr>
        <w:pStyle w:val="Compact"/>
        <w:numPr>
          <w:ilvl w:val="0"/>
          <w:numId w:val="3"/>
        </w:numPr>
      </w:pPr>
      <w:r>
        <w:t xml:space="preserve">20190808: </w:t>
      </w:r>
      <w:r w:rsidRPr="00DD62CB">
        <w:rPr>
          <w:color w:val="FF0000"/>
        </w:rPr>
        <w:t xml:space="preserve">This is a re-analysis of the the scenario after fixing a bug that was pulling </w:t>
      </w:r>
      <m:oMath>
        <m:sSub>
          <m:sSubPr>
            <m:ctrlPr>
              <w:rPr>
                <w:rFonts w:ascii="Cambria Math" w:hAnsi="Cambria Math"/>
                <w:color w:val="FF0000"/>
              </w:rPr>
            </m:ctrlPr>
          </m:sSubPr>
          <m:e>
            <m:r>
              <w:rPr>
                <w:rFonts w:ascii="Cambria Math" w:hAnsi="Cambria Math"/>
                <w:color w:val="FF0000"/>
              </w:rPr>
              <m:t>L</m:t>
            </m:r>
          </m:e>
          <m:sub>
            <m:r>
              <w:rPr>
                <w:rFonts w:ascii="Cambria Math" w:hAnsi="Cambria Math"/>
                <w:color w:val="FF0000"/>
              </w:rPr>
              <m:t>∞</m:t>
            </m:r>
          </m:sub>
        </m:sSub>
      </m:oMath>
      <w:r w:rsidRPr="00DD62CB">
        <w:rPr>
          <w:color w:val="FF0000"/>
        </w:rPr>
        <w:t xml:space="preserve"> from the lower basin. Added an additional figure of mean length and mean weight for verification of weight and length over time. Additional plots of initial and final length and weight distributions. Also added an appendix of some relevant model inputs for reference.</w:t>
      </w:r>
    </w:p>
    <w:p w:rsidR="0081703F" w:rsidRDefault="00890DA1">
      <w:pPr>
        <w:pStyle w:val="Heading2"/>
      </w:pPr>
      <w:bookmarkStart w:id="2" w:name="analysis-overview"/>
      <w:bookmarkEnd w:id="2"/>
      <w:r>
        <w:t>Analysis overview</w:t>
      </w:r>
    </w:p>
    <w:p w:rsidR="0081703F" w:rsidRDefault="00890DA1">
      <w:pPr>
        <w:pStyle w:val="FirstParagraph"/>
      </w:pPr>
      <w:r>
        <w:t>This analysis was initiated to evaluate and verify trends in size structure indexed by proportional size distributions (PSD) using the Pallid Sturgeon model developed as part of the effects analysis.</w:t>
      </w:r>
    </w:p>
    <w:p w:rsidR="0081703F" w:rsidRDefault="00890DA1">
      <w:pPr>
        <w:pStyle w:val="Heading2"/>
      </w:pPr>
      <w:bookmarkStart w:id="3" w:name="relevant-analysis-methods1"/>
      <w:bookmarkEnd w:id="3"/>
      <w:r>
        <w:t>Relevant analysis methods^1</w:t>
      </w:r>
    </w:p>
    <w:p w:rsidR="0081703F" w:rsidRDefault="00890DA1">
      <w:pPr>
        <w:pStyle w:val="Compact"/>
        <w:numPr>
          <w:ilvl w:val="0"/>
          <w:numId w:val="4"/>
        </w:numPr>
      </w:pPr>
      <w:r>
        <w:t>Adult population initialized in with 43,012 fish. All fish assumed to be hatchery origin, this assumption is inconsequential in the model for this exercise</w:t>
      </w:r>
    </w:p>
    <w:p w:rsidR="0081703F" w:rsidRDefault="00890DA1">
      <w:pPr>
        <w:pStyle w:val="Compact"/>
        <w:numPr>
          <w:ilvl w:val="0"/>
          <w:numId w:val="4"/>
        </w:numPr>
      </w:pPr>
      <w:r>
        <w:t>These fish were randomly assigned a length from the empirical distribution of lengths calculated from PSPAP assessments for RPMA2</w:t>
      </w:r>
    </w:p>
    <w:p w:rsidR="0081703F" w:rsidRDefault="00890DA1">
      <w:pPr>
        <w:pStyle w:val="Compact"/>
        <w:numPr>
          <w:ilvl w:val="0"/>
          <w:numId w:val="4"/>
        </w:numPr>
      </w:pPr>
      <w:r>
        <w:t>Survival was set to 0.95 for ages 1-60 (max age)</w:t>
      </w:r>
    </w:p>
    <w:p w:rsidR="0081703F" w:rsidRDefault="00890DA1">
      <w:pPr>
        <w:pStyle w:val="Compact"/>
        <w:numPr>
          <w:ilvl w:val="0"/>
          <w:numId w:val="4"/>
        </w:numPr>
      </w:pPr>
      <w:r>
        <w:t>There was no natural recruitment or stocking</w:t>
      </w:r>
    </w:p>
    <w:p w:rsidR="0081703F" w:rsidRDefault="00890DA1">
      <w:pPr>
        <w:pStyle w:val="Compact"/>
        <w:numPr>
          <w:ilvl w:val="0"/>
          <w:numId w:val="4"/>
        </w:numPr>
      </w:pPr>
      <w:r>
        <w:t>PSD values calculated given standard PSD sizes for Pallid Sturgeon</w:t>
      </w:r>
    </w:p>
    <w:p w:rsidR="0081703F" w:rsidRDefault="00890DA1">
      <w:pPr>
        <w:pStyle w:val="Compact"/>
        <w:numPr>
          <w:ilvl w:val="0"/>
          <w:numId w:val="4"/>
        </w:numPr>
      </w:pPr>
      <w:r>
        <w:t>Growth (i.e., change in length over time) and weight of individuals was simulated using RPMA2 specific VBGF parameters and length-weight relationship estimated from PSPAP data.</w:t>
      </w:r>
    </w:p>
    <w:p w:rsidR="0081703F" w:rsidRDefault="00890DA1">
      <w:pPr>
        <w:pStyle w:val="Compact"/>
        <w:numPr>
          <w:ilvl w:val="0"/>
          <w:numId w:val="4"/>
        </w:numPr>
      </w:pPr>
      <w:r>
        <w:t>Total biomass over time was calculated as the sum of the weight of all individuals at a given time step.</w:t>
      </w:r>
    </w:p>
    <w:p w:rsidR="0081703F" w:rsidRDefault="00890DA1">
      <w:pPr>
        <w:pStyle w:val="Compact"/>
        <w:numPr>
          <w:ilvl w:val="0"/>
          <w:numId w:val="4"/>
        </w:numPr>
      </w:pPr>
      <w:r>
        <w:t>Simulations run over a 50 year period, monthly time steps, 100 stochastic replicates</w:t>
      </w:r>
    </w:p>
    <w:p w:rsidR="0081703F" w:rsidRDefault="00890DA1">
      <w:pPr>
        <w:pStyle w:val="Heading2"/>
      </w:pPr>
      <w:bookmarkStart w:id="4" w:name="provisional-results2"/>
      <w:bookmarkEnd w:id="4"/>
      <w:r>
        <w:t>Provisional results^2</w:t>
      </w:r>
    </w:p>
    <w:p w:rsidR="0081703F" w:rsidRDefault="00890DA1">
      <w:pPr>
        <w:pStyle w:val="Compact"/>
        <w:numPr>
          <w:ilvl w:val="0"/>
          <w:numId w:val="5"/>
        </w:numPr>
      </w:pPr>
      <w:r>
        <w:t>Incremental PSD values transitioned from the majority of Pallid Sturgeon being PSD-SQ to PSD-QP (Figure 1; Table 1). Size structure shifts to larger fish with higher relative frequencies due to survival and growth.</w:t>
      </w:r>
    </w:p>
    <w:p w:rsidR="0081703F" w:rsidRDefault="00890DA1">
      <w:pPr>
        <w:pStyle w:val="Compact"/>
        <w:numPr>
          <w:ilvl w:val="0"/>
          <w:numId w:val="5"/>
        </w:numPr>
      </w:pPr>
      <w:r>
        <w:t>Increases in PSD-PM, PSD-MT, and PSD-T were observed in simulations, although size structure stabilized around 2045 (Figure 1).</w:t>
      </w:r>
    </w:p>
    <w:p w:rsidR="0081703F" w:rsidRDefault="00890DA1">
      <w:pPr>
        <w:pStyle w:val="Compact"/>
        <w:numPr>
          <w:ilvl w:val="0"/>
          <w:numId w:val="5"/>
        </w:numPr>
      </w:pPr>
      <w:r>
        <w:t>Total biomass of RPMA2 is projected to exceed 60,000 kg by 2030 given model inputs (Figure 2). Biomass declines after peak biomass due to the interaction of growth and survival (i.e., number of biomass lost to senescence exceeds growth).</w:t>
      </w:r>
    </w:p>
    <w:p w:rsidR="0081703F" w:rsidRDefault="00890DA1">
      <w:pPr>
        <w:pStyle w:val="Compact"/>
        <w:numPr>
          <w:ilvl w:val="0"/>
          <w:numId w:val="5"/>
        </w:numPr>
      </w:pPr>
      <w:r>
        <w:t>Total abundance is expected to decrease to approximately 3,300 individuals over the next 50 years given model inputs (Figure 3)</w:t>
      </w:r>
    </w:p>
    <w:p w:rsidR="0081703F" w:rsidRPr="00DD62CB" w:rsidRDefault="00890DA1">
      <w:pPr>
        <w:pStyle w:val="Compact"/>
        <w:numPr>
          <w:ilvl w:val="0"/>
          <w:numId w:val="5"/>
        </w:numPr>
        <w:rPr>
          <w:color w:val="FF0000"/>
        </w:rPr>
      </w:pPr>
      <w:r w:rsidRPr="00DD62CB">
        <w:rPr>
          <w:color w:val="FF0000"/>
        </w:rPr>
        <w:t>Length distribution shifted to larger individuals after 50 years, compared to year 1 of the simulation (Figure 5). The growth of Pallid Sturgeon is slow with vonBertalanffy growth coefficient equal to 0.05.</w:t>
      </w:r>
      <w:r>
        <w:t xml:space="preserve"> </w:t>
      </w:r>
      <w:r w:rsidRPr="00DD62CB">
        <w:rPr>
          <w:color w:val="FF0000"/>
        </w:rPr>
        <w:lastRenderedPageBreak/>
        <w:t xml:space="preserve">This value is slightly larger than the value of 0.01 reported by Shuman 2011 and reflects that the overall mean </w:t>
      </w:r>
      <m:oMath>
        <m:sSub>
          <m:sSubPr>
            <m:ctrlPr>
              <w:rPr>
                <w:rFonts w:ascii="Cambria Math" w:hAnsi="Cambria Math"/>
                <w:color w:val="FF0000"/>
              </w:rPr>
            </m:ctrlPr>
          </m:sSubPr>
          <m:e>
            <m:r>
              <w:rPr>
                <w:rFonts w:ascii="Cambria Math" w:hAnsi="Cambria Math"/>
                <w:color w:val="FF0000"/>
              </w:rPr>
              <m:t>L</m:t>
            </m:r>
          </m:e>
          <m:sub>
            <m:r>
              <w:rPr>
                <w:rFonts w:ascii="Cambria Math" w:hAnsi="Cambria Math"/>
                <w:color w:val="FF0000"/>
              </w:rPr>
              <m:t>∞</m:t>
            </m:r>
          </m:sub>
        </m:sSub>
      </m:oMath>
      <w:r w:rsidRPr="00DD62CB">
        <w:rPr>
          <w:color w:val="FF0000"/>
        </w:rPr>
        <w:t xml:space="preserve"> is lower for this analysis (NOTE: these values are from a Fabens estimate using PSPAP capure-recapture data to estimate </w:t>
      </w:r>
      <m:oMath>
        <m:r>
          <w:rPr>
            <w:rFonts w:ascii="Cambria Math" w:hAnsi="Cambria Math"/>
            <w:color w:val="FF0000"/>
          </w:rPr>
          <m:t>k</m:t>
        </m:r>
      </m:oMath>
      <w:r w:rsidRPr="00DD62CB">
        <w:rPr>
          <w:color w:val="FF0000"/>
        </w:rPr>
        <w:t xml:space="preserve"> </w:t>
      </w:r>
      <w:proofErr w:type="gramStart"/>
      <w:r w:rsidRPr="00DD62CB">
        <w:rPr>
          <w:color w:val="FF0000"/>
        </w:rPr>
        <w:t xml:space="preserve">and </w:t>
      </w:r>
      <w:proofErr w:type="gramEnd"/>
      <m:oMath>
        <m:sSub>
          <m:sSubPr>
            <m:ctrlPr>
              <w:rPr>
                <w:rFonts w:ascii="Cambria Math" w:hAnsi="Cambria Math"/>
                <w:color w:val="FF0000"/>
              </w:rPr>
            </m:ctrlPr>
          </m:sSubPr>
          <m:e>
            <m:r>
              <w:rPr>
                <w:rFonts w:ascii="Cambria Math" w:hAnsi="Cambria Math"/>
                <w:color w:val="FF0000"/>
              </w:rPr>
              <m:t>L</m:t>
            </m:r>
          </m:e>
          <m:sub>
            <m:r>
              <w:rPr>
                <w:rFonts w:ascii="Cambria Math" w:hAnsi="Cambria Math"/>
                <w:color w:val="FF0000"/>
              </w:rPr>
              <m:t>∞</m:t>
            </m:r>
          </m:sub>
        </m:sSub>
      </m:oMath>
      <w:r w:rsidRPr="00DD62CB">
        <w:rPr>
          <w:color w:val="FF0000"/>
        </w:rPr>
        <w:t>).</w:t>
      </w:r>
    </w:p>
    <w:p w:rsidR="0081703F" w:rsidRPr="00DD62CB" w:rsidRDefault="00890DA1">
      <w:pPr>
        <w:pStyle w:val="Compact"/>
        <w:numPr>
          <w:ilvl w:val="0"/>
          <w:numId w:val="5"/>
        </w:numPr>
        <w:rPr>
          <w:color w:val="FF0000"/>
        </w:rPr>
      </w:pPr>
      <w:r>
        <w:t xml:space="preserve"> </w:t>
      </w:r>
      <w:r w:rsidRPr="00DD62CB">
        <w:rPr>
          <w:color w:val="FF0000"/>
        </w:rPr>
        <w:t xml:space="preserve">Weight distribution shifted to larger individuals after 50 years, compared to year 1 of the simulation (Figure 6). </w:t>
      </w:r>
    </w:p>
    <w:p w:rsidR="0081703F" w:rsidRDefault="007D1781">
      <w:r>
        <w:pict>
          <v:rect id="_x0000_i1025" style="width:0;height:1.5pt" o:hralign="center" o:hrstd="t" o:hr="t"/>
        </w:pict>
      </w:r>
    </w:p>
    <w:p w:rsidR="002B61FE" w:rsidRDefault="00890DA1">
      <w:pPr>
        <w:pStyle w:val="FirstParagraph"/>
      </w:pPr>
      <w:r>
        <w:t>^1 Methods describe and detail relevant information required to replicate analysis using the Pallid Sturgeon Population m</w:t>
      </w:r>
      <w:bookmarkStart w:id="5" w:name="_GoBack"/>
      <w:bookmarkEnd w:id="5"/>
      <w:r>
        <w:t>odel. Exact model details are in progress of write up for publication which will serve as the primary citation for the model used in these analyses.</w:t>
      </w:r>
      <w:r>
        <w:br/>
        <w:t>^2 Results provided may be subject to revision as the model is still under development and therefore all results should be considered provisional.</w:t>
      </w:r>
    </w:p>
    <w:p w:rsidR="002B61FE" w:rsidRDefault="002B61FE" w:rsidP="002B61FE">
      <w:r>
        <w:br w:type="page"/>
      </w:r>
    </w:p>
    <w:p w:rsidR="0081703F" w:rsidRDefault="00890DA1">
      <w:pPr>
        <w:pStyle w:val="Heading2"/>
      </w:pPr>
      <w:bookmarkStart w:id="6" w:name="figures"/>
      <w:bookmarkEnd w:id="6"/>
      <w:r>
        <w:lastRenderedPageBreak/>
        <w:t>Figures</w:t>
      </w:r>
    </w:p>
    <w:p w:rsidR="0081703F" w:rsidRDefault="00890DA1">
      <w:pPr>
        <w:pStyle w:val="Figure"/>
      </w:pPr>
      <w:r>
        <w:rPr>
          <w:noProof/>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81703F" w:rsidRDefault="00890DA1">
      <w:pPr>
        <w:pStyle w:val="FirstParagraph"/>
      </w:pPr>
      <w:r>
        <w:t>Figure 1. Simulated Pallid Sturgeon incremental proportional stock density (PSD) values (</w:t>
      </w:r>
      <w:r>
        <w:rPr>
          <w:i/>
        </w:rPr>
        <w:t>y</w:t>
      </w:r>
      <w:r>
        <w:t>-axis) versus year (</w:t>
      </w:r>
      <w:r>
        <w:rPr>
          <w:i/>
        </w:rPr>
        <w:t>x</w:t>
      </w:r>
      <w:r>
        <w:t>-axis) for RPMA2.</w:t>
      </w:r>
    </w:p>
    <w:p w:rsidR="0081703F" w:rsidRDefault="00890DA1">
      <w:pPr>
        <w:pStyle w:val="Figure"/>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81703F" w:rsidRDefault="00890DA1">
      <w:pPr>
        <w:pStyle w:val="FirstParagraph"/>
      </w:pPr>
      <w:r>
        <w:t>Figure 2. Total simulated Pallid sturgeon biomass (</w:t>
      </w:r>
      <w:r>
        <w:rPr>
          <w:i/>
        </w:rPr>
        <w:t>y</w:t>
      </w:r>
      <w:r>
        <w:t>-axis) and year (</w:t>
      </w:r>
      <w:r>
        <w:rPr>
          <w:i/>
        </w:rPr>
        <w:t>x</w:t>
      </w:r>
      <w:r>
        <w:t>-axis) for RPMA2. Grey area denotes simulation envelope for 100 stochastic replicates.</w:t>
      </w:r>
    </w:p>
    <w:p w:rsidR="0081703F" w:rsidRDefault="00890DA1">
      <w:pPr>
        <w:pStyle w:val="Figure"/>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81703F" w:rsidRDefault="00890DA1">
      <w:pPr>
        <w:pStyle w:val="FirstParagraph"/>
      </w:pPr>
      <w:r>
        <w:t>Figure 3. Expected total Pallid Sturgeon abundance for RPMA2. Grey area denotes simulation envelope for 100 stochastic replicates.</w:t>
      </w:r>
    </w:p>
    <w:p w:rsidR="0081703F" w:rsidRDefault="00890DA1">
      <w:pPr>
        <w:pStyle w:val="Figure"/>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81703F" w:rsidRDefault="00890DA1">
      <w:pPr>
        <w:pStyle w:val="FirstParagraph"/>
      </w:pPr>
      <w:r>
        <w:t>Figure 4. Mean individual weight of simulated RPMA2 Pallid Sturgeon.</w:t>
      </w:r>
      <w:r>
        <w:br/>
        <w:t>Grey area denotes simulation envelope.</w:t>
      </w:r>
    </w:p>
    <w:p w:rsidR="0081703F" w:rsidRDefault="00890DA1">
      <w:pPr>
        <w:pStyle w:val="Figure"/>
      </w:pPr>
      <w:r>
        <w:rPr>
          <w:noProof/>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6-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81703F" w:rsidRDefault="00890DA1">
      <w:pPr>
        <w:pStyle w:val="FirstParagraph"/>
      </w:pPr>
      <w:r>
        <w:t>Figure 5. Distribution of lengths in mm at Year = 2015 and Year = 2065 for simulated Pallid Sturgeon dynamics.</w:t>
      </w:r>
    </w:p>
    <w:p w:rsidR="0081703F" w:rsidRDefault="00890DA1">
      <w:pPr>
        <w:pStyle w:val="Figure"/>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7-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2B61FE" w:rsidRDefault="00890DA1">
      <w:pPr>
        <w:pStyle w:val="FirstParagraph"/>
      </w:pPr>
      <w:r>
        <w:t>Figure 6. Distribution of weights in kg at Year = 2015 and Year = 2065 for simulated Pallid Sturgeon dynamics.</w:t>
      </w:r>
    </w:p>
    <w:p w:rsidR="002B61FE" w:rsidRDefault="002B61FE" w:rsidP="002B61FE">
      <w:r>
        <w:br w:type="page"/>
      </w:r>
    </w:p>
    <w:p w:rsidR="0081703F" w:rsidRDefault="00890DA1">
      <w:pPr>
        <w:pStyle w:val="Heading2"/>
      </w:pPr>
      <w:bookmarkStart w:id="7" w:name="tables"/>
      <w:bookmarkEnd w:id="7"/>
      <w:r>
        <w:lastRenderedPageBreak/>
        <w:t>Tables</w:t>
      </w:r>
    </w:p>
    <w:p w:rsidR="0081703F" w:rsidRDefault="00890DA1">
      <w:pPr>
        <w:pStyle w:val="Compact"/>
      </w:pPr>
      <w:r>
        <w:t>Table 1. Expected incremental PSD values for simulated Pallid Sturgeon population in RPMA2. Values are means of stochastic replicates and therefore may not sum to 100.</w:t>
      </w:r>
    </w:p>
    <w:tbl>
      <w:tblPr>
        <w:tblW w:w="0" w:type="pct"/>
        <w:tblLook w:val="07E0" w:firstRow="1" w:lastRow="1" w:firstColumn="1" w:lastColumn="1" w:noHBand="1" w:noVBand="1"/>
      </w:tblPr>
      <w:tblGrid>
        <w:gridCol w:w="910"/>
        <w:gridCol w:w="659"/>
        <w:gridCol w:w="659"/>
        <w:gridCol w:w="659"/>
        <w:gridCol w:w="659"/>
      </w:tblGrid>
      <w:tr w:rsidR="0081703F">
        <w:tc>
          <w:tcPr>
            <w:tcW w:w="0" w:type="auto"/>
            <w:tcBorders>
              <w:bottom w:val="single" w:sz="0" w:space="0" w:color="auto"/>
            </w:tcBorders>
            <w:vAlign w:val="bottom"/>
          </w:tcPr>
          <w:p w:rsidR="0081703F" w:rsidRDefault="00890DA1">
            <w:pPr>
              <w:pStyle w:val="Compact"/>
            </w:pPr>
            <w:r>
              <w:t>PSD</w:t>
            </w:r>
          </w:p>
        </w:tc>
        <w:tc>
          <w:tcPr>
            <w:tcW w:w="0" w:type="auto"/>
            <w:tcBorders>
              <w:bottom w:val="single" w:sz="0" w:space="0" w:color="auto"/>
            </w:tcBorders>
            <w:vAlign w:val="bottom"/>
          </w:tcPr>
          <w:p w:rsidR="0081703F" w:rsidRDefault="00890DA1">
            <w:pPr>
              <w:pStyle w:val="Compact"/>
            </w:pPr>
            <w:r>
              <w:t>2015</w:t>
            </w:r>
          </w:p>
        </w:tc>
        <w:tc>
          <w:tcPr>
            <w:tcW w:w="0" w:type="auto"/>
            <w:tcBorders>
              <w:bottom w:val="single" w:sz="0" w:space="0" w:color="auto"/>
            </w:tcBorders>
            <w:vAlign w:val="bottom"/>
          </w:tcPr>
          <w:p w:rsidR="0081703F" w:rsidRDefault="00890DA1">
            <w:pPr>
              <w:pStyle w:val="Compact"/>
            </w:pPr>
            <w:r>
              <w:t>2025</w:t>
            </w:r>
          </w:p>
        </w:tc>
        <w:tc>
          <w:tcPr>
            <w:tcW w:w="0" w:type="auto"/>
            <w:tcBorders>
              <w:bottom w:val="single" w:sz="0" w:space="0" w:color="auto"/>
            </w:tcBorders>
            <w:vAlign w:val="bottom"/>
          </w:tcPr>
          <w:p w:rsidR="0081703F" w:rsidRDefault="00890DA1">
            <w:pPr>
              <w:pStyle w:val="Compact"/>
            </w:pPr>
            <w:r>
              <w:t>2050</w:t>
            </w:r>
          </w:p>
        </w:tc>
        <w:tc>
          <w:tcPr>
            <w:tcW w:w="0" w:type="auto"/>
            <w:tcBorders>
              <w:bottom w:val="single" w:sz="0" w:space="0" w:color="auto"/>
            </w:tcBorders>
            <w:vAlign w:val="bottom"/>
          </w:tcPr>
          <w:p w:rsidR="0081703F" w:rsidRDefault="00890DA1">
            <w:pPr>
              <w:pStyle w:val="Compact"/>
            </w:pPr>
            <w:r>
              <w:t>2065</w:t>
            </w:r>
          </w:p>
        </w:tc>
      </w:tr>
      <w:tr w:rsidR="0081703F">
        <w:tc>
          <w:tcPr>
            <w:tcW w:w="0" w:type="auto"/>
          </w:tcPr>
          <w:p w:rsidR="0081703F" w:rsidRDefault="00890DA1">
            <w:pPr>
              <w:pStyle w:val="Compact"/>
            </w:pPr>
            <w:r>
              <w:t>PSD-SQ</w:t>
            </w:r>
          </w:p>
        </w:tc>
        <w:tc>
          <w:tcPr>
            <w:tcW w:w="0" w:type="auto"/>
          </w:tcPr>
          <w:p w:rsidR="0081703F" w:rsidRDefault="00890DA1">
            <w:pPr>
              <w:pStyle w:val="Compact"/>
            </w:pPr>
            <w:r>
              <w:t>82</w:t>
            </w:r>
          </w:p>
        </w:tc>
        <w:tc>
          <w:tcPr>
            <w:tcW w:w="0" w:type="auto"/>
          </w:tcPr>
          <w:p w:rsidR="0081703F" w:rsidRDefault="00890DA1">
            <w:pPr>
              <w:pStyle w:val="Compact"/>
            </w:pPr>
            <w:r>
              <w:t>19</w:t>
            </w:r>
          </w:p>
        </w:tc>
        <w:tc>
          <w:tcPr>
            <w:tcW w:w="0" w:type="auto"/>
          </w:tcPr>
          <w:p w:rsidR="0081703F" w:rsidRDefault="00890DA1">
            <w:pPr>
              <w:pStyle w:val="Compact"/>
            </w:pPr>
            <w:r>
              <w:t>9</w:t>
            </w:r>
          </w:p>
        </w:tc>
        <w:tc>
          <w:tcPr>
            <w:tcW w:w="0" w:type="auto"/>
          </w:tcPr>
          <w:p w:rsidR="0081703F" w:rsidRDefault="00890DA1">
            <w:pPr>
              <w:pStyle w:val="Compact"/>
            </w:pPr>
            <w:r>
              <w:t>9</w:t>
            </w:r>
          </w:p>
        </w:tc>
      </w:tr>
      <w:tr w:rsidR="0081703F">
        <w:tc>
          <w:tcPr>
            <w:tcW w:w="0" w:type="auto"/>
          </w:tcPr>
          <w:p w:rsidR="0081703F" w:rsidRDefault="00890DA1">
            <w:pPr>
              <w:pStyle w:val="Compact"/>
            </w:pPr>
            <w:r>
              <w:t>PSD-QP</w:t>
            </w:r>
          </w:p>
        </w:tc>
        <w:tc>
          <w:tcPr>
            <w:tcW w:w="0" w:type="auto"/>
          </w:tcPr>
          <w:p w:rsidR="0081703F" w:rsidRDefault="00890DA1">
            <w:pPr>
              <w:pStyle w:val="Compact"/>
            </w:pPr>
            <w:r>
              <w:t>7</w:t>
            </w:r>
          </w:p>
        </w:tc>
        <w:tc>
          <w:tcPr>
            <w:tcW w:w="0" w:type="auto"/>
          </w:tcPr>
          <w:p w:rsidR="0081703F" w:rsidRDefault="00890DA1">
            <w:pPr>
              <w:pStyle w:val="Compact"/>
            </w:pPr>
            <w:r>
              <w:t>47</w:t>
            </w:r>
          </w:p>
        </w:tc>
        <w:tc>
          <w:tcPr>
            <w:tcW w:w="0" w:type="auto"/>
          </w:tcPr>
          <w:p w:rsidR="0081703F" w:rsidRDefault="00890DA1">
            <w:pPr>
              <w:pStyle w:val="Compact"/>
            </w:pPr>
            <w:r>
              <w:t>15</w:t>
            </w:r>
          </w:p>
        </w:tc>
        <w:tc>
          <w:tcPr>
            <w:tcW w:w="0" w:type="auto"/>
          </w:tcPr>
          <w:p w:rsidR="0081703F" w:rsidRDefault="00890DA1">
            <w:pPr>
              <w:pStyle w:val="Compact"/>
            </w:pPr>
            <w:r>
              <w:t>14</w:t>
            </w:r>
          </w:p>
        </w:tc>
      </w:tr>
      <w:tr w:rsidR="0081703F">
        <w:tc>
          <w:tcPr>
            <w:tcW w:w="0" w:type="auto"/>
          </w:tcPr>
          <w:p w:rsidR="0081703F" w:rsidRDefault="00890DA1">
            <w:pPr>
              <w:pStyle w:val="Compact"/>
            </w:pPr>
            <w:r>
              <w:t>PSD-PM</w:t>
            </w:r>
          </w:p>
        </w:tc>
        <w:tc>
          <w:tcPr>
            <w:tcW w:w="0" w:type="auto"/>
          </w:tcPr>
          <w:p w:rsidR="0081703F" w:rsidRDefault="00890DA1">
            <w:pPr>
              <w:pStyle w:val="Compact"/>
            </w:pPr>
            <w:r>
              <w:t>8</w:t>
            </w:r>
          </w:p>
        </w:tc>
        <w:tc>
          <w:tcPr>
            <w:tcW w:w="0" w:type="auto"/>
          </w:tcPr>
          <w:p w:rsidR="0081703F" w:rsidRDefault="00890DA1">
            <w:pPr>
              <w:pStyle w:val="Compact"/>
            </w:pPr>
            <w:r>
              <w:t>22</w:t>
            </w:r>
          </w:p>
        </w:tc>
        <w:tc>
          <w:tcPr>
            <w:tcW w:w="0" w:type="auto"/>
          </w:tcPr>
          <w:p w:rsidR="0081703F" w:rsidRDefault="00890DA1">
            <w:pPr>
              <w:pStyle w:val="Compact"/>
            </w:pPr>
            <w:r>
              <w:t>20</w:t>
            </w:r>
          </w:p>
        </w:tc>
        <w:tc>
          <w:tcPr>
            <w:tcW w:w="0" w:type="auto"/>
          </w:tcPr>
          <w:p w:rsidR="0081703F" w:rsidRDefault="00890DA1">
            <w:pPr>
              <w:pStyle w:val="Compact"/>
            </w:pPr>
            <w:r>
              <w:t>17</w:t>
            </w:r>
          </w:p>
        </w:tc>
      </w:tr>
      <w:tr w:rsidR="0081703F">
        <w:tc>
          <w:tcPr>
            <w:tcW w:w="0" w:type="auto"/>
          </w:tcPr>
          <w:p w:rsidR="0081703F" w:rsidRDefault="00890DA1">
            <w:pPr>
              <w:pStyle w:val="Compact"/>
            </w:pPr>
            <w:r>
              <w:t>PSD-MT</w:t>
            </w:r>
          </w:p>
        </w:tc>
        <w:tc>
          <w:tcPr>
            <w:tcW w:w="0" w:type="auto"/>
          </w:tcPr>
          <w:p w:rsidR="0081703F" w:rsidRDefault="00890DA1">
            <w:pPr>
              <w:pStyle w:val="Compact"/>
            </w:pPr>
            <w:r>
              <w:t>3</w:t>
            </w:r>
          </w:p>
        </w:tc>
        <w:tc>
          <w:tcPr>
            <w:tcW w:w="0" w:type="auto"/>
          </w:tcPr>
          <w:p w:rsidR="0081703F" w:rsidRDefault="00890DA1">
            <w:pPr>
              <w:pStyle w:val="Compact"/>
            </w:pPr>
            <w:r>
              <w:t>9</w:t>
            </w:r>
          </w:p>
        </w:tc>
        <w:tc>
          <w:tcPr>
            <w:tcW w:w="0" w:type="auto"/>
          </w:tcPr>
          <w:p w:rsidR="0081703F" w:rsidRDefault="00890DA1">
            <w:pPr>
              <w:pStyle w:val="Compact"/>
            </w:pPr>
            <w:r>
              <w:t>24</w:t>
            </w:r>
          </w:p>
        </w:tc>
        <w:tc>
          <w:tcPr>
            <w:tcW w:w="0" w:type="auto"/>
          </w:tcPr>
          <w:p w:rsidR="0081703F" w:rsidRDefault="00890DA1">
            <w:pPr>
              <w:pStyle w:val="Compact"/>
            </w:pPr>
            <w:r>
              <w:t>20</w:t>
            </w:r>
          </w:p>
        </w:tc>
      </w:tr>
      <w:tr w:rsidR="0081703F">
        <w:tc>
          <w:tcPr>
            <w:tcW w:w="0" w:type="auto"/>
          </w:tcPr>
          <w:p w:rsidR="0081703F" w:rsidRDefault="00890DA1">
            <w:pPr>
              <w:pStyle w:val="Compact"/>
            </w:pPr>
            <w:r>
              <w:t>PSD-T</w:t>
            </w:r>
          </w:p>
        </w:tc>
        <w:tc>
          <w:tcPr>
            <w:tcW w:w="0" w:type="auto"/>
          </w:tcPr>
          <w:p w:rsidR="0081703F" w:rsidRDefault="00890DA1">
            <w:pPr>
              <w:pStyle w:val="Compact"/>
            </w:pPr>
            <w:r>
              <w:t>0</w:t>
            </w:r>
          </w:p>
        </w:tc>
        <w:tc>
          <w:tcPr>
            <w:tcW w:w="0" w:type="auto"/>
          </w:tcPr>
          <w:p w:rsidR="0081703F" w:rsidRDefault="00890DA1">
            <w:pPr>
              <w:pStyle w:val="Compact"/>
            </w:pPr>
            <w:r>
              <w:t>2</w:t>
            </w:r>
          </w:p>
        </w:tc>
        <w:tc>
          <w:tcPr>
            <w:tcW w:w="0" w:type="auto"/>
          </w:tcPr>
          <w:p w:rsidR="0081703F" w:rsidRDefault="00890DA1">
            <w:pPr>
              <w:pStyle w:val="Compact"/>
            </w:pPr>
            <w:r>
              <w:t>31</w:t>
            </w:r>
          </w:p>
        </w:tc>
        <w:tc>
          <w:tcPr>
            <w:tcW w:w="0" w:type="auto"/>
          </w:tcPr>
          <w:p w:rsidR="0081703F" w:rsidRDefault="00890DA1">
            <w:pPr>
              <w:pStyle w:val="Compact"/>
            </w:pPr>
            <w:r>
              <w:t>41</w:t>
            </w:r>
          </w:p>
        </w:tc>
      </w:tr>
    </w:tbl>
    <w:p w:rsidR="0081703F" w:rsidRDefault="00890DA1">
      <w:pPr>
        <w:pStyle w:val="Heading2"/>
      </w:pPr>
      <w:bookmarkStart w:id="8" w:name="inputs-summary"/>
      <w:bookmarkEnd w:id="8"/>
      <w:r>
        <w:t>Inputs summary</w:t>
      </w:r>
    </w:p>
    <w:p w:rsidR="0081703F" w:rsidRDefault="00890DA1">
      <w:pPr>
        <w:pStyle w:val="Compact"/>
        <w:numPr>
          <w:ilvl w:val="0"/>
          <w:numId w:val="6"/>
        </w:numPr>
      </w:pPr>
      <w:r>
        <w:t>Analysis Metadata</w:t>
      </w:r>
    </w:p>
    <w:p w:rsidR="0081703F" w:rsidRDefault="00890DA1">
      <w:pPr>
        <w:pStyle w:val="Compact"/>
        <w:numPr>
          <w:ilvl w:val="1"/>
          <w:numId w:val="7"/>
        </w:numPr>
      </w:pPr>
      <w:r>
        <w:t>Analysis ID: 2016-001</w:t>
      </w:r>
    </w:p>
    <w:p w:rsidR="0081703F" w:rsidRDefault="00890DA1">
      <w:pPr>
        <w:pStyle w:val="Compact"/>
        <w:numPr>
          <w:ilvl w:val="1"/>
          <w:numId w:val="7"/>
        </w:numPr>
      </w:pPr>
      <w:r>
        <w:t>GIT Commit: f6a8565</w:t>
      </w:r>
      <w:r>
        <w:br/>
      </w:r>
    </w:p>
    <w:p w:rsidR="0081703F" w:rsidRDefault="00890DA1">
      <w:pPr>
        <w:pStyle w:val="Compact"/>
        <w:numPr>
          <w:ilvl w:val="0"/>
          <w:numId w:val="6"/>
        </w:numPr>
      </w:pPr>
      <w:r>
        <w:t>Population characteristics</w:t>
      </w:r>
    </w:p>
    <w:p w:rsidR="0081703F" w:rsidRDefault="00890DA1">
      <w:pPr>
        <w:pStyle w:val="Compact"/>
        <w:numPr>
          <w:ilvl w:val="1"/>
          <w:numId w:val="8"/>
        </w:numPr>
      </w:pPr>
      <w:r>
        <w:t>Total population: 43012</w:t>
      </w:r>
    </w:p>
    <w:p w:rsidR="0081703F" w:rsidRDefault="00890DA1">
      <w:pPr>
        <w:pStyle w:val="Compact"/>
        <w:numPr>
          <w:ilvl w:val="1"/>
          <w:numId w:val="8"/>
        </w:numPr>
      </w:pPr>
      <w:r>
        <w:t>Initial ratio: 0.5</w:t>
      </w:r>
    </w:p>
    <w:p w:rsidR="0081703F" w:rsidRDefault="00890DA1">
      <w:pPr>
        <w:pStyle w:val="Compact"/>
        <w:numPr>
          <w:ilvl w:val="1"/>
          <w:numId w:val="8"/>
        </w:numPr>
      </w:pPr>
      <w:r>
        <w:t>Maximum age: 60</w:t>
      </w:r>
    </w:p>
    <w:p w:rsidR="0081703F" w:rsidRDefault="00890DA1">
      <w:pPr>
        <w:pStyle w:val="Compact"/>
        <w:numPr>
          <w:ilvl w:val="1"/>
          <w:numId w:val="8"/>
        </w:numPr>
      </w:pPr>
      <w:r>
        <w:t>Size at hatch (mm): 7</w:t>
      </w:r>
      <w:r>
        <w:br/>
      </w:r>
    </w:p>
    <w:p w:rsidR="0081703F" w:rsidRDefault="00890DA1">
      <w:pPr>
        <w:pStyle w:val="Compact"/>
        <w:numPr>
          <w:ilvl w:val="0"/>
          <w:numId w:val="6"/>
        </w:numPr>
      </w:pPr>
      <w:r>
        <w:t>Size and growth</w:t>
      </w:r>
    </w:p>
    <w:p w:rsidR="0081703F" w:rsidRDefault="00890DA1">
      <w:pPr>
        <w:pStyle w:val="Compact"/>
        <w:numPr>
          <w:ilvl w:val="1"/>
          <w:numId w:val="9"/>
        </w:numPr>
      </w:pPr>
      <w:r>
        <w:t>Length-weight</w:t>
      </w:r>
    </w:p>
    <w:p w:rsidR="0081703F" w:rsidRDefault="00890DA1">
      <w:pPr>
        <w:pStyle w:val="Compact"/>
        <w:numPr>
          <w:ilvl w:val="2"/>
          <w:numId w:val="10"/>
        </w:numPr>
      </w:pPr>
      <w:r>
        <w:t>a: 7.6e-07</w:t>
      </w:r>
    </w:p>
    <w:p w:rsidR="0081703F" w:rsidRDefault="00890DA1">
      <w:pPr>
        <w:pStyle w:val="Compact"/>
        <w:numPr>
          <w:ilvl w:val="2"/>
          <w:numId w:val="10"/>
        </w:numPr>
      </w:pPr>
      <w:r>
        <w:t>a' (ln): -14.09</w:t>
      </w:r>
    </w:p>
    <w:p w:rsidR="0081703F" w:rsidRDefault="00890DA1">
      <w:pPr>
        <w:pStyle w:val="Compact"/>
        <w:numPr>
          <w:ilvl w:val="2"/>
          <w:numId w:val="10"/>
        </w:numPr>
      </w:pPr>
      <w:r>
        <w:t>b: 3.24</w:t>
      </w:r>
    </w:p>
    <w:p w:rsidR="0081703F" w:rsidRDefault="00890DA1">
      <w:pPr>
        <w:pStyle w:val="Compact"/>
        <w:numPr>
          <w:ilvl w:val="2"/>
          <w:numId w:val="10"/>
        </w:numPr>
      </w:pPr>
      <m:oMath>
        <m:r>
          <w:rPr>
            <w:rFonts w:ascii="Cambria Math" w:hAnsi="Cambria Math"/>
          </w:rPr>
          <m:t>σ</m:t>
        </m:r>
      </m:oMath>
      <w:r>
        <w:t>: 0.16</w:t>
      </w:r>
      <w:r>
        <w:br/>
      </w:r>
    </w:p>
    <w:p w:rsidR="0081703F" w:rsidRDefault="00890DA1">
      <w:pPr>
        <w:pStyle w:val="Compact"/>
        <w:numPr>
          <w:ilvl w:val="1"/>
          <w:numId w:val="9"/>
        </w:numPr>
      </w:pPr>
      <w:r>
        <w:t>Growth</w:t>
      </w:r>
    </w:p>
    <w:p w:rsidR="0081703F" w:rsidRDefault="007D1781">
      <w:pPr>
        <w:pStyle w:val="Compact"/>
        <w:numPr>
          <w:ilvl w:val="2"/>
          <w:numId w:val="11"/>
        </w:numPr>
      </w:pP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L</m:t>
                </m:r>
              </m:e>
              <m:sub>
                <m:r>
                  <w:rPr>
                    <w:rFonts w:ascii="Cambria Math" w:hAnsi="Cambria Math"/>
                  </w:rPr>
                  <m:t>∞</m:t>
                </m:r>
              </m:sub>
            </m:sSub>
          </m:sub>
        </m:sSub>
      </m:oMath>
      <w:r w:rsidR="00890DA1">
        <w:t>: 1256.43</w:t>
      </w:r>
    </w:p>
    <w:p w:rsidR="0081703F" w:rsidRDefault="007D1781">
      <w:pPr>
        <w:pStyle w:val="Compact"/>
        <w:numPr>
          <w:ilvl w:val="2"/>
          <w:numId w:val="11"/>
        </w:numPr>
      </w:pPr>
      <m:oMath>
        <m:sSub>
          <m:sSubPr>
            <m:ctrlPr>
              <w:rPr>
                <w:rFonts w:ascii="Cambria Math" w:hAnsi="Cambria Math"/>
              </w:rPr>
            </m:ctrlPr>
          </m:sSubPr>
          <m:e>
            <m:r>
              <w:rPr>
                <w:rFonts w:ascii="Cambria Math" w:hAnsi="Cambria Math"/>
              </w:rPr>
              <m:t>μ</m:t>
            </m:r>
          </m:e>
          <m:sub>
            <m:r>
              <w:rPr>
                <w:rFonts w:ascii="Cambria Math" w:hAnsi="Cambria Math"/>
              </w:rPr>
              <m:t>k</m:t>
            </m:r>
          </m:sub>
        </m:sSub>
      </m:oMath>
      <w:r w:rsidR="00890DA1">
        <w:t>: 0.05</w:t>
      </w:r>
    </w:p>
    <w:p w:rsidR="0081703F" w:rsidRDefault="00890DA1">
      <w:pPr>
        <w:pStyle w:val="Compact"/>
        <w:numPr>
          <w:ilvl w:val="2"/>
          <w:numId w:val="11"/>
        </w:numPr>
      </w:pPr>
      <m:oMath>
        <m:r>
          <w:rPr>
            <w:rFonts w:ascii="Cambria Math" w:hAnsi="Cambria Math"/>
          </w:rPr>
          <m:t>ln(</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L</m:t>
                </m:r>
              </m:e>
              <m:sub>
                <m:r>
                  <w:rPr>
                    <w:rFonts w:ascii="Cambria Math" w:hAnsi="Cambria Math"/>
                  </w:rPr>
                  <m:t>∞</m:t>
                </m:r>
              </m:sub>
            </m:sSub>
          </m:sub>
        </m:sSub>
        <m:r>
          <w:rPr>
            <w:rFonts w:ascii="Cambria Math" w:hAnsi="Cambria Math"/>
          </w:rPr>
          <m:t>)</m:t>
        </m:r>
      </m:oMath>
      <w:r>
        <w:t>: 7.14</w:t>
      </w:r>
    </w:p>
    <w:p w:rsidR="0081703F" w:rsidRDefault="00890DA1">
      <w:pPr>
        <w:pStyle w:val="Compact"/>
        <w:numPr>
          <w:ilvl w:val="2"/>
          <w:numId w:val="11"/>
        </w:numPr>
      </w:pPr>
      <m:oMath>
        <m:r>
          <w:rPr>
            <w:rFonts w:ascii="Cambria Math" w:hAnsi="Cambria Math"/>
          </w:rPr>
          <m:t>ln(</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oMath>
      <w:r>
        <w:t>: -3</w:t>
      </w:r>
    </w:p>
    <w:p w:rsidR="0081703F" w:rsidRDefault="007D1781">
      <w:pPr>
        <w:pStyle w:val="Compact"/>
        <w:numPr>
          <w:ilvl w:val="2"/>
          <w:numId w:val="11"/>
        </w:numPr>
      </w:pPr>
      <m:oMath>
        <m:sSub>
          <m:sSubPr>
            <m:ctrlPr>
              <w:rPr>
                <w:rFonts w:ascii="Cambria Math" w:hAnsi="Cambria Math"/>
              </w:rPr>
            </m:ctrlPr>
          </m:sSubPr>
          <m:e>
            <m:r>
              <w:rPr>
                <w:rFonts w:ascii="Cambria Math" w:hAnsi="Cambria Math"/>
              </w:rPr>
              <m:t>σ</m:t>
            </m:r>
          </m:e>
          <m:sub>
            <m:r>
              <w:rPr>
                <w:rFonts w:ascii="Cambria Math" w:hAnsi="Cambria Math"/>
              </w:rPr>
              <m:t>ln(</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L</m:t>
                    </m:r>
                  </m:e>
                  <m:sub>
                    <m:r>
                      <w:rPr>
                        <w:rFonts w:ascii="Cambria Math" w:hAnsi="Cambria Math"/>
                      </w:rPr>
                      <m:t>∞</m:t>
                    </m:r>
                  </m:sub>
                </m:sSub>
              </m:sub>
            </m:sSub>
            <m:r>
              <w:rPr>
                <w:rFonts w:ascii="Cambria Math" w:hAnsi="Cambria Math"/>
              </w:rPr>
              <m:t>)</m:t>
            </m:r>
          </m:sub>
        </m:sSub>
      </m:oMath>
      <w:r w:rsidR="00890DA1">
        <w:t>: 0.53</w:t>
      </w:r>
    </w:p>
    <w:p w:rsidR="0081703F" w:rsidRDefault="007D1781">
      <w:pPr>
        <w:pStyle w:val="Compact"/>
        <w:numPr>
          <w:ilvl w:val="2"/>
          <w:numId w:val="11"/>
        </w:numPr>
      </w:pPr>
      <m:oMath>
        <m:sSub>
          <m:sSubPr>
            <m:ctrlPr>
              <w:rPr>
                <w:rFonts w:ascii="Cambria Math" w:hAnsi="Cambria Math"/>
              </w:rPr>
            </m:ctrlPr>
          </m:sSubPr>
          <m:e>
            <m:r>
              <w:rPr>
                <w:rFonts w:ascii="Cambria Math" w:hAnsi="Cambria Math"/>
              </w:rPr>
              <m:t>σ</m:t>
            </m:r>
          </m:e>
          <m:sub>
            <m:r>
              <w:rPr>
                <w:rFonts w:ascii="Cambria Math" w:hAnsi="Cambria Math"/>
              </w:rPr>
              <m:t>ln(</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ub>
        </m:sSub>
      </m:oMath>
      <w:r w:rsidR="00890DA1">
        <w:t>: 0.8</w:t>
      </w:r>
    </w:p>
    <w:p w:rsidR="0081703F" w:rsidRDefault="00890DA1">
      <w:pPr>
        <w:pStyle w:val="Compact"/>
        <w:numPr>
          <w:ilvl w:val="2"/>
          <w:numId w:val="11"/>
        </w:numPr>
      </w:pPr>
      <w:r>
        <w:t xml:space="preserve">Correlation of </w:t>
      </w:r>
      <m:oMath>
        <m:r>
          <w:rPr>
            <w:rFonts w:ascii="Cambria Math" w:hAnsi="Cambria Math"/>
          </w:rPr>
          <m:t>ln(</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L</m:t>
                </m:r>
              </m:e>
              <m:sub>
                <m:r>
                  <w:rPr>
                    <w:rFonts w:ascii="Cambria Math" w:hAnsi="Cambria Math"/>
                  </w:rPr>
                  <m:t>∞</m:t>
                </m:r>
              </m:sub>
            </m:sSub>
          </m:sub>
        </m:sSub>
        <m:r>
          <w:rPr>
            <w:rFonts w:ascii="Cambria Math" w:hAnsi="Cambria Math"/>
          </w:rPr>
          <m:t>)</m:t>
        </m:r>
      </m:oMath>
      <w:r>
        <w:t xml:space="preserve"> and </w:t>
      </w:r>
      <m:oMath>
        <m:r>
          <w:rPr>
            <w:rFonts w:ascii="Cambria Math" w:hAnsi="Cambria Math"/>
          </w:rPr>
          <m:t>ln(</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oMath>
      <w:r>
        <w:t>; (</w:t>
      </w:r>
      <m:oMath>
        <m:r>
          <w:rPr>
            <w:rFonts w:ascii="Cambria Math" w:hAnsi="Cambria Math"/>
          </w:rPr>
          <m:t>ρ</m:t>
        </m:r>
      </m:oMath>
      <w:r>
        <w:t>): -0.87</w:t>
      </w:r>
    </w:p>
    <w:sectPr w:rsidR="008170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781" w:rsidRDefault="007D1781">
      <w:pPr>
        <w:spacing w:before="0" w:after="0" w:line="240" w:lineRule="auto"/>
      </w:pPr>
      <w:r>
        <w:separator/>
      </w:r>
    </w:p>
  </w:endnote>
  <w:endnote w:type="continuationSeparator" w:id="0">
    <w:p w:rsidR="007D1781" w:rsidRDefault="007D17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781" w:rsidRDefault="007D1781">
      <w:r>
        <w:separator/>
      </w:r>
    </w:p>
  </w:footnote>
  <w:footnote w:type="continuationSeparator" w:id="0">
    <w:p w:rsidR="007D1781" w:rsidRDefault="007D1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3600C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A80199B"/>
    <w:multiLevelType w:val="multilevel"/>
    <w:tmpl w:val="984C47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9F6D17A"/>
    <w:multiLevelType w:val="multilevel"/>
    <w:tmpl w:val="D27454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9F3E5F7"/>
    <w:multiLevelType w:val="multilevel"/>
    <w:tmpl w:val="BF5260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DUyNjcytDQxMDcxNLJQ0lEKTi0uzszPAykwqgUAPfzoDCwAAAA="/>
  </w:docVars>
  <w:rsids>
    <w:rsidRoot w:val="00590D07"/>
    <w:rsid w:val="00011C8B"/>
    <w:rsid w:val="002B61FE"/>
    <w:rsid w:val="004E29B3"/>
    <w:rsid w:val="00590D07"/>
    <w:rsid w:val="00784D58"/>
    <w:rsid w:val="007D1781"/>
    <w:rsid w:val="0081703F"/>
    <w:rsid w:val="00890DA1"/>
    <w:rsid w:val="008D6863"/>
    <w:rsid w:val="00AE1A2C"/>
    <w:rsid w:val="00B86B75"/>
    <w:rsid w:val="00BC48D5"/>
    <w:rsid w:val="00C36279"/>
    <w:rsid w:val="00DD62C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AE1A2C"/>
    <w:rPr>
      <w:sz w:val="20"/>
      <w:szCs w:val="20"/>
    </w:rPr>
  </w:style>
  <w:style w:type="paragraph" w:styleId="Heading1">
    <w:name w:val="heading 1"/>
    <w:basedOn w:val="Normal"/>
    <w:next w:val="Normal"/>
    <w:link w:val="Heading1Char"/>
    <w:uiPriority w:val="9"/>
    <w:qFormat/>
    <w:rsid w:val="00AE1A2C"/>
    <w:pPr>
      <w:pBdr>
        <w:top w:val="single" w:sz="24" w:space="0" w:color="auto"/>
        <w:left w:val="single" w:sz="24" w:space="0" w:color="auto"/>
        <w:bottom w:val="single" w:sz="24" w:space="0" w:color="auto"/>
        <w:right w:val="single" w:sz="24" w:space="0" w:color="auto"/>
      </w:pBdr>
      <w:shd w:val="clear" w:color="auto" w:fill="000000" w:themeFill="tex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AE1A2C"/>
    <w:pPr>
      <w:pBdr>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pBdr>
      <w:shd w:val="clear" w:color="auto" w:fill="A6A6A6" w:themeFill="background1" w:themeFillShade="A6"/>
      <w:spacing w:after="0"/>
      <w:outlineLvl w:val="1"/>
    </w:pPr>
    <w:rPr>
      <w:caps/>
      <w:spacing w:val="15"/>
      <w:sz w:val="22"/>
      <w:szCs w:val="22"/>
    </w:rPr>
  </w:style>
  <w:style w:type="paragraph" w:styleId="Heading3">
    <w:name w:val="heading 3"/>
    <w:basedOn w:val="Normal"/>
    <w:next w:val="Normal"/>
    <w:link w:val="Heading3Char"/>
    <w:uiPriority w:val="9"/>
    <w:unhideWhenUsed/>
    <w:qFormat/>
    <w:rsid w:val="00AE1A2C"/>
    <w:pPr>
      <w:pBdr>
        <w:top w:val="single" w:sz="6" w:space="2" w:color="BFBFBF" w:themeColor="background1" w:themeShade="BF"/>
        <w:left w:val="single" w:sz="6" w:space="2" w:color="BFBFBF" w:themeColor="background1" w:themeShade="BF"/>
      </w:pBdr>
      <w:spacing w:before="300" w:after="0"/>
      <w:outlineLvl w:val="2"/>
    </w:pPr>
    <w:rPr>
      <w:caps/>
      <w:color w:val="000000" w:themeColor="text1"/>
      <w:spacing w:val="15"/>
      <w:sz w:val="22"/>
      <w:szCs w:val="22"/>
    </w:rPr>
  </w:style>
  <w:style w:type="paragraph" w:styleId="Heading4">
    <w:name w:val="heading 4"/>
    <w:basedOn w:val="Normal"/>
    <w:next w:val="Normal"/>
    <w:link w:val="Heading4Char"/>
    <w:uiPriority w:val="9"/>
    <w:unhideWhenUsed/>
    <w:qFormat/>
    <w:rsid w:val="00AE1A2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AE1A2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AE1A2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AE1A2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AE1A2C"/>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E1A2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E1A2C"/>
    <w:pPr>
      <w:spacing w:before="720"/>
    </w:pPr>
    <w:rPr>
      <w:b/>
      <w:caps/>
      <w:color w:val="000000" w:themeColor="text1"/>
      <w:spacing w:val="10"/>
      <w:kern w:val="28"/>
      <w:sz w:val="32"/>
      <w:szCs w:val="52"/>
    </w:rPr>
  </w:style>
  <w:style w:type="paragraph" w:styleId="Subtitle">
    <w:name w:val="Subtitle"/>
    <w:basedOn w:val="Normal"/>
    <w:next w:val="Normal"/>
    <w:link w:val="SubtitleChar"/>
    <w:uiPriority w:val="11"/>
    <w:qFormat/>
    <w:rsid w:val="00AE1A2C"/>
    <w:pPr>
      <w:spacing w:after="1000" w:line="240" w:lineRule="auto"/>
    </w:pPr>
    <w:rPr>
      <w:caps/>
      <w:color w:val="595959" w:themeColor="text1" w:themeTint="A6"/>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E1A2C"/>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AE1A2C"/>
    <w:pPr>
      <w:outlineLvl w:val="9"/>
    </w:pPr>
    <w:rPr>
      <w:lang w:bidi="en-U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365F91" w:themeColor="accent1" w:themeShade="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365F91" w:themeColor="accent1" w:themeShade="BF"/>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BalloonText">
    <w:name w:val="Balloon Text"/>
    <w:basedOn w:val="Normal"/>
    <w:link w:val="BalloonTextChar"/>
    <w:rsid w:val="00AE1A2C"/>
    <w:pPr>
      <w:spacing w:after="0"/>
    </w:pPr>
    <w:rPr>
      <w:rFonts w:ascii="Tahoma" w:hAnsi="Tahoma" w:cs="Tahoma"/>
      <w:sz w:val="16"/>
      <w:szCs w:val="16"/>
    </w:rPr>
  </w:style>
  <w:style w:type="character" w:customStyle="1" w:styleId="BalloonTextChar">
    <w:name w:val="Balloon Text Char"/>
    <w:basedOn w:val="DefaultParagraphFont"/>
    <w:link w:val="BalloonText"/>
    <w:rsid w:val="00AE1A2C"/>
    <w:rPr>
      <w:rFonts w:ascii="Tahoma" w:hAnsi="Tahoma" w:cs="Tahoma"/>
      <w:sz w:val="16"/>
      <w:szCs w:val="16"/>
    </w:rPr>
  </w:style>
  <w:style w:type="character" w:customStyle="1" w:styleId="Heading1Char">
    <w:name w:val="Heading 1 Char"/>
    <w:basedOn w:val="DefaultParagraphFont"/>
    <w:link w:val="Heading1"/>
    <w:uiPriority w:val="9"/>
    <w:rsid w:val="00AE1A2C"/>
    <w:rPr>
      <w:b/>
      <w:bCs/>
      <w:caps/>
      <w:color w:val="FFFFFF" w:themeColor="background1"/>
      <w:spacing w:val="15"/>
      <w:sz w:val="28"/>
      <w:shd w:val="clear" w:color="auto" w:fill="000000" w:themeFill="text1"/>
    </w:rPr>
  </w:style>
  <w:style w:type="character" w:customStyle="1" w:styleId="Heading2Char">
    <w:name w:val="Heading 2 Char"/>
    <w:basedOn w:val="DefaultParagraphFont"/>
    <w:link w:val="Heading2"/>
    <w:uiPriority w:val="9"/>
    <w:rsid w:val="00AE1A2C"/>
    <w:rPr>
      <w:caps/>
      <w:spacing w:val="15"/>
      <w:shd w:val="clear" w:color="auto" w:fill="A6A6A6" w:themeFill="background1" w:themeFillShade="A6"/>
    </w:rPr>
  </w:style>
  <w:style w:type="character" w:customStyle="1" w:styleId="Heading3Char">
    <w:name w:val="Heading 3 Char"/>
    <w:basedOn w:val="DefaultParagraphFont"/>
    <w:link w:val="Heading3"/>
    <w:uiPriority w:val="9"/>
    <w:rsid w:val="00AE1A2C"/>
    <w:rPr>
      <w:caps/>
      <w:color w:val="000000" w:themeColor="text1"/>
      <w:spacing w:val="15"/>
    </w:rPr>
  </w:style>
  <w:style w:type="character" w:customStyle="1" w:styleId="Heading4Char">
    <w:name w:val="Heading 4 Char"/>
    <w:basedOn w:val="DefaultParagraphFont"/>
    <w:link w:val="Heading4"/>
    <w:uiPriority w:val="9"/>
    <w:rsid w:val="00AE1A2C"/>
    <w:rPr>
      <w:caps/>
      <w:color w:val="365F91" w:themeColor="accent1" w:themeShade="BF"/>
      <w:spacing w:val="10"/>
    </w:rPr>
  </w:style>
  <w:style w:type="character" w:customStyle="1" w:styleId="Heading5Char">
    <w:name w:val="Heading 5 Char"/>
    <w:basedOn w:val="DefaultParagraphFont"/>
    <w:link w:val="Heading5"/>
    <w:uiPriority w:val="9"/>
    <w:rsid w:val="00AE1A2C"/>
    <w:rPr>
      <w:caps/>
      <w:color w:val="365F91" w:themeColor="accent1" w:themeShade="BF"/>
      <w:spacing w:val="10"/>
    </w:rPr>
  </w:style>
  <w:style w:type="character" w:customStyle="1" w:styleId="Heading6Char">
    <w:name w:val="Heading 6 Char"/>
    <w:basedOn w:val="DefaultParagraphFont"/>
    <w:link w:val="Heading6"/>
    <w:uiPriority w:val="9"/>
    <w:rsid w:val="00AE1A2C"/>
    <w:rPr>
      <w:caps/>
      <w:color w:val="365F91" w:themeColor="accent1" w:themeShade="BF"/>
      <w:spacing w:val="10"/>
    </w:rPr>
  </w:style>
  <w:style w:type="character" w:customStyle="1" w:styleId="Heading7Char">
    <w:name w:val="Heading 7 Char"/>
    <w:basedOn w:val="DefaultParagraphFont"/>
    <w:link w:val="Heading7"/>
    <w:uiPriority w:val="9"/>
    <w:rsid w:val="00AE1A2C"/>
    <w:rPr>
      <w:caps/>
      <w:color w:val="365F91" w:themeColor="accent1" w:themeShade="BF"/>
      <w:spacing w:val="10"/>
    </w:rPr>
  </w:style>
  <w:style w:type="character" w:customStyle="1" w:styleId="Heading8Char">
    <w:name w:val="Heading 8 Char"/>
    <w:basedOn w:val="DefaultParagraphFont"/>
    <w:link w:val="Heading8"/>
    <w:uiPriority w:val="9"/>
    <w:rsid w:val="00AE1A2C"/>
    <w:rPr>
      <w:caps/>
      <w:spacing w:val="10"/>
      <w:sz w:val="18"/>
      <w:szCs w:val="18"/>
    </w:rPr>
  </w:style>
  <w:style w:type="character" w:customStyle="1" w:styleId="Heading9Char">
    <w:name w:val="Heading 9 Char"/>
    <w:basedOn w:val="DefaultParagraphFont"/>
    <w:link w:val="Heading9"/>
    <w:uiPriority w:val="9"/>
    <w:rsid w:val="00AE1A2C"/>
    <w:rPr>
      <w:i/>
      <w:caps/>
      <w:spacing w:val="10"/>
      <w:sz w:val="18"/>
      <w:szCs w:val="18"/>
    </w:rPr>
  </w:style>
  <w:style w:type="character" w:customStyle="1" w:styleId="TitleChar">
    <w:name w:val="Title Char"/>
    <w:basedOn w:val="DefaultParagraphFont"/>
    <w:link w:val="Title"/>
    <w:uiPriority w:val="10"/>
    <w:rsid w:val="00AE1A2C"/>
    <w:rPr>
      <w:b/>
      <w:caps/>
      <w:color w:val="000000" w:themeColor="text1"/>
      <w:spacing w:val="10"/>
      <w:kern w:val="28"/>
      <w:sz w:val="32"/>
      <w:szCs w:val="52"/>
    </w:rPr>
  </w:style>
  <w:style w:type="character" w:customStyle="1" w:styleId="SubtitleChar">
    <w:name w:val="Subtitle Char"/>
    <w:basedOn w:val="DefaultParagraphFont"/>
    <w:link w:val="Subtitle"/>
    <w:uiPriority w:val="11"/>
    <w:rsid w:val="00AE1A2C"/>
    <w:rPr>
      <w:caps/>
      <w:color w:val="595959" w:themeColor="text1" w:themeTint="A6"/>
      <w:spacing w:val="10"/>
      <w:sz w:val="24"/>
      <w:szCs w:val="24"/>
    </w:rPr>
  </w:style>
  <w:style w:type="character" w:styleId="Strong">
    <w:name w:val="Strong"/>
    <w:uiPriority w:val="22"/>
    <w:qFormat/>
    <w:rsid w:val="00AE1A2C"/>
    <w:rPr>
      <w:b/>
      <w:bCs/>
    </w:rPr>
  </w:style>
  <w:style w:type="character" w:styleId="Emphasis">
    <w:name w:val="Emphasis"/>
    <w:uiPriority w:val="20"/>
    <w:qFormat/>
    <w:rsid w:val="00AE1A2C"/>
    <w:rPr>
      <w:caps/>
      <w:color w:val="243F60" w:themeColor="accent1" w:themeShade="7F"/>
      <w:spacing w:val="5"/>
    </w:rPr>
  </w:style>
  <w:style w:type="paragraph" w:styleId="NoSpacing">
    <w:name w:val="No Spacing"/>
    <w:basedOn w:val="Normal"/>
    <w:link w:val="NoSpacingChar"/>
    <w:uiPriority w:val="1"/>
    <w:qFormat/>
    <w:rsid w:val="00AE1A2C"/>
    <w:pPr>
      <w:spacing w:before="0" w:after="0" w:line="240" w:lineRule="auto"/>
    </w:pPr>
  </w:style>
  <w:style w:type="character" w:customStyle="1" w:styleId="NoSpacingChar">
    <w:name w:val="No Spacing Char"/>
    <w:basedOn w:val="DefaultParagraphFont"/>
    <w:link w:val="NoSpacing"/>
    <w:uiPriority w:val="1"/>
    <w:rsid w:val="00AE1A2C"/>
    <w:rPr>
      <w:sz w:val="20"/>
      <w:szCs w:val="20"/>
    </w:rPr>
  </w:style>
  <w:style w:type="paragraph" w:styleId="ListParagraph">
    <w:name w:val="List Paragraph"/>
    <w:basedOn w:val="Normal"/>
    <w:uiPriority w:val="34"/>
    <w:qFormat/>
    <w:rsid w:val="00AE1A2C"/>
    <w:pPr>
      <w:ind w:left="720"/>
      <w:contextualSpacing/>
    </w:pPr>
  </w:style>
  <w:style w:type="paragraph" w:styleId="Quote">
    <w:name w:val="Quote"/>
    <w:basedOn w:val="Normal"/>
    <w:next w:val="Normal"/>
    <w:link w:val="QuoteChar"/>
    <w:uiPriority w:val="29"/>
    <w:qFormat/>
    <w:rsid w:val="00AE1A2C"/>
    <w:rPr>
      <w:i/>
      <w:iCs/>
    </w:rPr>
  </w:style>
  <w:style w:type="character" w:customStyle="1" w:styleId="QuoteChar">
    <w:name w:val="Quote Char"/>
    <w:basedOn w:val="DefaultParagraphFont"/>
    <w:link w:val="Quote"/>
    <w:uiPriority w:val="29"/>
    <w:rsid w:val="00AE1A2C"/>
    <w:rPr>
      <w:i/>
      <w:iCs/>
      <w:sz w:val="20"/>
      <w:szCs w:val="20"/>
    </w:rPr>
  </w:style>
  <w:style w:type="paragraph" w:styleId="IntenseQuote">
    <w:name w:val="Intense Quote"/>
    <w:basedOn w:val="Normal"/>
    <w:next w:val="Normal"/>
    <w:link w:val="IntenseQuoteChar"/>
    <w:uiPriority w:val="30"/>
    <w:qFormat/>
    <w:rsid w:val="00AE1A2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1A2C"/>
    <w:rPr>
      <w:i/>
      <w:iCs/>
      <w:color w:val="4F81BD" w:themeColor="accent1"/>
      <w:sz w:val="20"/>
      <w:szCs w:val="20"/>
    </w:rPr>
  </w:style>
  <w:style w:type="character" w:styleId="SubtleEmphasis">
    <w:name w:val="Subtle Emphasis"/>
    <w:uiPriority w:val="19"/>
    <w:qFormat/>
    <w:rsid w:val="00AE1A2C"/>
    <w:rPr>
      <w:i/>
      <w:iCs/>
      <w:color w:val="243F60" w:themeColor="accent1" w:themeShade="7F"/>
    </w:rPr>
  </w:style>
  <w:style w:type="character" w:styleId="IntenseEmphasis">
    <w:name w:val="Intense Emphasis"/>
    <w:uiPriority w:val="21"/>
    <w:qFormat/>
    <w:rsid w:val="00AE1A2C"/>
    <w:rPr>
      <w:b/>
      <w:bCs/>
      <w:caps/>
      <w:color w:val="243F60" w:themeColor="accent1" w:themeShade="7F"/>
      <w:spacing w:val="10"/>
    </w:rPr>
  </w:style>
  <w:style w:type="character" w:styleId="SubtleReference">
    <w:name w:val="Subtle Reference"/>
    <w:uiPriority w:val="31"/>
    <w:qFormat/>
    <w:rsid w:val="00AE1A2C"/>
    <w:rPr>
      <w:b/>
      <w:bCs/>
      <w:color w:val="4F81BD" w:themeColor="accent1"/>
    </w:rPr>
  </w:style>
  <w:style w:type="character" w:styleId="IntenseReference">
    <w:name w:val="Intense Reference"/>
    <w:uiPriority w:val="32"/>
    <w:qFormat/>
    <w:rsid w:val="00AE1A2C"/>
    <w:rPr>
      <w:b/>
      <w:bCs/>
      <w:i/>
      <w:iCs/>
      <w:caps/>
      <w:color w:val="4F81BD" w:themeColor="accent1"/>
    </w:rPr>
  </w:style>
  <w:style w:type="character" w:styleId="BookTitle">
    <w:name w:val="Book Title"/>
    <w:uiPriority w:val="33"/>
    <w:qFormat/>
    <w:rsid w:val="00AE1A2C"/>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728</Words>
  <Characters>4153</Characters>
  <Application>Microsoft Office Word</Application>
  <DocSecurity>0</DocSecurity>
  <Lines>34</Lines>
  <Paragraphs>9</Paragraphs>
  <ScaleCrop>false</ScaleCrop>
  <Company>Microsoft</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Colvin</cp:lastModifiedBy>
  <cp:revision>4</cp:revision>
  <dcterms:created xsi:type="dcterms:W3CDTF">2016-08-09T17:26:00Z</dcterms:created>
  <dcterms:modified xsi:type="dcterms:W3CDTF">2016-08-09T17:37:00Z</dcterms:modified>
</cp:coreProperties>
</file>