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DD801" w14:textId="77777777" w:rsidR="0078175C" w:rsidRDefault="0078175C" w:rsidP="0078175C">
      <w:pPr>
        <w:pStyle w:val="Heading1"/>
      </w:pPr>
      <w:r>
        <w:t>Extract Background and Status</w:t>
      </w:r>
    </w:p>
    <w:p w14:paraId="1A3482FF" w14:textId="77777777" w:rsidR="0078175C" w:rsidRDefault="0078175C" w:rsidP="00322D01"/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260"/>
        <w:gridCol w:w="7830"/>
      </w:tblGrid>
      <w:tr w:rsidR="00B362E4" w14:paraId="34E551E4" w14:textId="77777777" w:rsidTr="00322D01">
        <w:tc>
          <w:tcPr>
            <w:tcW w:w="1260" w:type="dxa"/>
          </w:tcPr>
          <w:p w14:paraId="6B9221F0" w14:textId="77777777" w:rsidR="00B362E4" w:rsidRPr="00096DC9" w:rsidRDefault="00B362E4" w:rsidP="00322D01">
            <w:pPr>
              <w:rPr>
                <w:rStyle w:val="Strong"/>
              </w:rPr>
            </w:pPr>
            <w:r w:rsidRPr="00096DC9">
              <w:rPr>
                <w:rStyle w:val="Strong"/>
              </w:rPr>
              <w:t>JIRA:</w:t>
            </w:r>
          </w:p>
        </w:tc>
        <w:tc>
          <w:tcPr>
            <w:tcW w:w="7830" w:type="dxa"/>
          </w:tcPr>
          <w:p w14:paraId="602CE1F5" w14:textId="1524A6C0" w:rsidR="00B362E4" w:rsidRDefault="00E11F85" w:rsidP="00322D01">
            <w:r>
              <w:t>CCDA-</w:t>
            </w:r>
            <w:r w:rsidR="00486908">
              <w:t>2643</w:t>
            </w:r>
          </w:p>
        </w:tc>
      </w:tr>
      <w:tr w:rsidR="00B362E4" w14:paraId="7E996BC4" w14:textId="77777777" w:rsidTr="00322D01">
        <w:tc>
          <w:tcPr>
            <w:tcW w:w="1260" w:type="dxa"/>
          </w:tcPr>
          <w:p w14:paraId="5C836228" w14:textId="77777777" w:rsidR="00B362E4" w:rsidRPr="00096DC9" w:rsidRDefault="00B362E4" w:rsidP="00322D01">
            <w:pPr>
              <w:rPr>
                <w:rStyle w:val="Strong"/>
              </w:rPr>
            </w:pPr>
            <w:r w:rsidRPr="00096DC9">
              <w:rPr>
                <w:rStyle w:val="Strong"/>
              </w:rPr>
              <w:t>Study PI:</w:t>
            </w:r>
          </w:p>
        </w:tc>
        <w:tc>
          <w:tcPr>
            <w:tcW w:w="7830" w:type="dxa"/>
          </w:tcPr>
          <w:p w14:paraId="37597990" w14:textId="77DA7D5B" w:rsidR="00B362E4" w:rsidRDefault="00486908" w:rsidP="00EE17D6">
            <w:r>
              <w:t>Dr. Keri Althoff</w:t>
            </w:r>
          </w:p>
        </w:tc>
      </w:tr>
      <w:tr w:rsidR="00322D01" w14:paraId="2D128A8D" w14:textId="77777777" w:rsidTr="00322D01">
        <w:tc>
          <w:tcPr>
            <w:tcW w:w="1260" w:type="dxa"/>
          </w:tcPr>
          <w:p w14:paraId="5EC831F7" w14:textId="77777777" w:rsidR="00322D01" w:rsidRPr="00096DC9" w:rsidRDefault="00322D01" w:rsidP="00322D01">
            <w:pPr>
              <w:rPr>
                <w:rStyle w:val="Strong"/>
              </w:rPr>
            </w:pPr>
            <w:r w:rsidRPr="00096DC9">
              <w:rPr>
                <w:rStyle w:val="Strong"/>
              </w:rPr>
              <w:t>Study Title:</w:t>
            </w:r>
          </w:p>
        </w:tc>
        <w:tc>
          <w:tcPr>
            <w:tcW w:w="7830" w:type="dxa"/>
          </w:tcPr>
          <w:p w14:paraId="4131C2FF" w14:textId="56988ED5" w:rsidR="00322D01" w:rsidRDefault="00486908" w:rsidP="00322D01">
            <w:r w:rsidRPr="00486908">
              <w:t>COVID Vaccination: Factors Associated with 2nd Dose Compliance</w:t>
            </w:r>
          </w:p>
        </w:tc>
      </w:tr>
      <w:tr w:rsidR="00322D01" w14:paraId="11939030" w14:textId="77777777" w:rsidTr="00322D01">
        <w:tc>
          <w:tcPr>
            <w:tcW w:w="1260" w:type="dxa"/>
          </w:tcPr>
          <w:p w14:paraId="3B5A1BDD" w14:textId="77777777" w:rsidR="00322D01" w:rsidRPr="00096DC9" w:rsidRDefault="00322D01" w:rsidP="0012586B">
            <w:pPr>
              <w:rPr>
                <w:rStyle w:val="Strong"/>
              </w:rPr>
            </w:pPr>
            <w:r w:rsidRPr="00096DC9">
              <w:rPr>
                <w:rStyle w:val="Strong"/>
              </w:rPr>
              <w:t>Contact:</w:t>
            </w:r>
          </w:p>
        </w:tc>
        <w:tc>
          <w:tcPr>
            <w:tcW w:w="7830" w:type="dxa"/>
          </w:tcPr>
          <w:p w14:paraId="0AEBC28F" w14:textId="4C7D6855" w:rsidR="00322D01" w:rsidRDefault="00486908" w:rsidP="00C1195D">
            <w:r>
              <w:t>Ben Bigelow, Joe Broderick</w:t>
            </w:r>
          </w:p>
        </w:tc>
      </w:tr>
      <w:tr w:rsidR="00322D01" w14:paraId="479C6E50" w14:textId="77777777" w:rsidTr="00322D01">
        <w:tc>
          <w:tcPr>
            <w:tcW w:w="1260" w:type="dxa"/>
          </w:tcPr>
          <w:p w14:paraId="650F49AB" w14:textId="77777777" w:rsidR="00322D01" w:rsidRPr="00096DC9" w:rsidRDefault="00322D01" w:rsidP="0012586B">
            <w:pPr>
              <w:rPr>
                <w:rStyle w:val="Strong"/>
              </w:rPr>
            </w:pPr>
            <w:r w:rsidRPr="00096DC9">
              <w:rPr>
                <w:rStyle w:val="Strong"/>
              </w:rPr>
              <w:t>Date:</w:t>
            </w:r>
          </w:p>
        </w:tc>
        <w:tc>
          <w:tcPr>
            <w:tcW w:w="7830" w:type="dxa"/>
          </w:tcPr>
          <w:p w14:paraId="168A02DC" w14:textId="1A94E317" w:rsidR="00322D01" w:rsidRDefault="00C762F0" w:rsidP="0012586B">
            <w:r>
              <w:t>5/18/2021 Version 2</w:t>
            </w:r>
          </w:p>
        </w:tc>
      </w:tr>
      <w:tr w:rsidR="00322D01" w14:paraId="4EFE2EB9" w14:textId="77777777" w:rsidTr="00322D01">
        <w:tc>
          <w:tcPr>
            <w:tcW w:w="1260" w:type="dxa"/>
          </w:tcPr>
          <w:p w14:paraId="5740DC56" w14:textId="77777777" w:rsidR="00322D01" w:rsidRPr="00096DC9" w:rsidRDefault="00322D01" w:rsidP="0012586B">
            <w:pPr>
              <w:rPr>
                <w:rStyle w:val="Strong"/>
              </w:rPr>
            </w:pPr>
            <w:r w:rsidRPr="00096DC9">
              <w:rPr>
                <w:rStyle w:val="Strong"/>
              </w:rPr>
              <w:t>Extract purpose:</w:t>
            </w:r>
          </w:p>
        </w:tc>
        <w:tc>
          <w:tcPr>
            <w:tcW w:w="7830" w:type="dxa"/>
          </w:tcPr>
          <w:p w14:paraId="6E51B0F2" w14:textId="61425157" w:rsidR="00322D01" w:rsidRDefault="00486908" w:rsidP="0012586B">
            <w:r>
              <w:t>Provide a limited dataset with patient demographics and vaccine status for a retrospective study</w:t>
            </w:r>
          </w:p>
        </w:tc>
      </w:tr>
      <w:tr w:rsidR="006B35AD" w14:paraId="57658B7A" w14:textId="77777777" w:rsidTr="00322D01">
        <w:tc>
          <w:tcPr>
            <w:tcW w:w="1260" w:type="dxa"/>
          </w:tcPr>
          <w:p w14:paraId="08533DF6" w14:textId="77777777" w:rsidR="006B35AD" w:rsidRPr="00096DC9" w:rsidRDefault="006B35AD" w:rsidP="0012586B">
            <w:pPr>
              <w:rPr>
                <w:rStyle w:val="Strong"/>
              </w:rPr>
            </w:pPr>
            <w:r w:rsidRPr="00096DC9">
              <w:rPr>
                <w:rStyle w:val="Strong"/>
              </w:rPr>
              <w:t>Current IRB status:</w:t>
            </w:r>
          </w:p>
        </w:tc>
        <w:tc>
          <w:tcPr>
            <w:tcW w:w="7830" w:type="dxa"/>
          </w:tcPr>
          <w:p w14:paraId="7C7CB62B" w14:textId="33280AD7" w:rsidR="006B35AD" w:rsidRDefault="00486908" w:rsidP="00322D01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JHSPH IRB #15951 </w:t>
            </w:r>
            <w:r w:rsidR="00C762F0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Approved</w:t>
            </w:r>
          </w:p>
        </w:tc>
      </w:tr>
      <w:tr w:rsidR="006B35AD" w14:paraId="016B20DB" w14:textId="77777777" w:rsidTr="00322D01">
        <w:tc>
          <w:tcPr>
            <w:tcW w:w="1260" w:type="dxa"/>
          </w:tcPr>
          <w:p w14:paraId="6DA4AAE6" w14:textId="77777777" w:rsidR="006B35AD" w:rsidRPr="00096DC9" w:rsidRDefault="00096DC9" w:rsidP="0012586B">
            <w:pPr>
              <w:rPr>
                <w:rStyle w:val="Strong"/>
              </w:rPr>
            </w:pPr>
            <w:r w:rsidRPr="00096DC9">
              <w:rPr>
                <w:rStyle w:val="Strong"/>
              </w:rPr>
              <w:t>Funding available:</w:t>
            </w:r>
          </w:p>
        </w:tc>
        <w:tc>
          <w:tcPr>
            <w:tcW w:w="7830" w:type="dxa"/>
          </w:tcPr>
          <w:p w14:paraId="613D22C1" w14:textId="0E54B6A2" w:rsidR="006B35AD" w:rsidRDefault="00486908" w:rsidP="00096DC9">
            <w:r>
              <w:t>Yes</w:t>
            </w:r>
          </w:p>
        </w:tc>
      </w:tr>
      <w:tr w:rsidR="006B35AD" w14:paraId="7BEB494B" w14:textId="77777777" w:rsidTr="00322D01">
        <w:tc>
          <w:tcPr>
            <w:tcW w:w="1260" w:type="dxa"/>
          </w:tcPr>
          <w:p w14:paraId="05D823C4" w14:textId="77777777" w:rsidR="006B35AD" w:rsidRPr="00096DC9" w:rsidRDefault="00096DC9" w:rsidP="0012586B">
            <w:pPr>
              <w:rPr>
                <w:rStyle w:val="Strong"/>
              </w:rPr>
            </w:pPr>
            <w:r w:rsidRPr="00096DC9">
              <w:rPr>
                <w:rStyle w:val="Strong"/>
              </w:rPr>
              <w:t>Extract frequency:</w:t>
            </w:r>
          </w:p>
        </w:tc>
        <w:tc>
          <w:tcPr>
            <w:tcW w:w="7830" w:type="dxa"/>
          </w:tcPr>
          <w:p w14:paraId="4FE0BE24" w14:textId="0D79C550" w:rsidR="00CF19EE" w:rsidRDefault="00486908" w:rsidP="00322D01">
            <w:r>
              <w:t>One-time</w:t>
            </w:r>
          </w:p>
        </w:tc>
      </w:tr>
      <w:tr w:rsidR="00096DC9" w14:paraId="1C829C01" w14:textId="77777777" w:rsidTr="00322D01">
        <w:tc>
          <w:tcPr>
            <w:tcW w:w="1260" w:type="dxa"/>
          </w:tcPr>
          <w:p w14:paraId="0C67B783" w14:textId="77777777" w:rsidR="00096DC9" w:rsidRPr="00096DC9" w:rsidRDefault="00096DC9" w:rsidP="0012586B">
            <w:pPr>
              <w:rPr>
                <w:rStyle w:val="Strong"/>
              </w:rPr>
            </w:pPr>
            <w:r w:rsidRPr="00096DC9">
              <w:rPr>
                <w:rStyle w:val="Strong"/>
              </w:rPr>
              <w:t>Data Source:</w:t>
            </w:r>
          </w:p>
        </w:tc>
        <w:tc>
          <w:tcPr>
            <w:tcW w:w="7830" w:type="dxa"/>
          </w:tcPr>
          <w:p w14:paraId="01F7DA69" w14:textId="5BEF7AAE" w:rsidR="00096DC9" w:rsidRDefault="00486908" w:rsidP="00322D01">
            <w:r>
              <w:t>Epic</w:t>
            </w:r>
            <w:r w:rsidR="00794C75">
              <w:t xml:space="preserve"> Clarity</w:t>
            </w:r>
          </w:p>
        </w:tc>
      </w:tr>
      <w:tr w:rsidR="0078175C" w14:paraId="292294CC" w14:textId="77777777" w:rsidTr="00322D01">
        <w:tc>
          <w:tcPr>
            <w:tcW w:w="1260" w:type="dxa"/>
          </w:tcPr>
          <w:p w14:paraId="59A78C22" w14:textId="77777777" w:rsidR="0078175C" w:rsidRPr="00096DC9" w:rsidRDefault="0078175C" w:rsidP="00CC24A4">
            <w:pPr>
              <w:rPr>
                <w:rStyle w:val="Strong"/>
              </w:rPr>
            </w:pPr>
            <w:r>
              <w:rPr>
                <w:rStyle w:val="Strong"/>
              </w:rPr>
              <w:t xml:space="preserve">Extract </w:t>
            </w:r>
            <w:r w:rsidR="00CC24A4">
              <w:rPr>
                <w:rStyle w:val="Strong"/>
              </w:rPr>
              <w:t>Structure</w:t>
            </w:r>
            <w:r>
              <w:rPr>
                <w:rStyle w:val="Strong"/>
              </w:rPr>
              <w:t>:</w:t>
            </w:r>
          </w:p>
        </w:tc>
        <w:tc>
          <w:tcPr>
            <w:tcW w:w="7830" w:type="dxa"/>
          </w:tcPr>
          <w:p w14:paraId="0BB7E6EC" w14:textId="2E4238B9" w:rsidR="00CF19EE" w:rsidRDefault="00486908" w:rsidP="00096DC9">
            <w:r>
              <w:t>Excel spreadsheet</w:t>
            </w:r>
          </w:p>
        </w:tc>
      </w:tr>
      <w:tr w:rsidR="001A5F7F" w14:paraId="00AB4CE2" w14:textId="77777777" w:rsidTr="00322D01">
        <w:tc>
          <w:tcPr>
            <w:tcW w:w="1260" w:type="dxa"/>
          </w:tcPr>
          <w:p w14:paraId="4A45C526" w14:textId="46B1306D" w:rsidR="001A5F7F" w:rsidRDefault="001A5F7F" w:rsidP="00CC24A4">
            <w:pPr>
              <w:rPr>
                <w:rStyle w:val="Strong"/>
              </w:rPr>
            </w:pPr>
            <w:r>
              <w:rPr>
                <w:rStyle w:val="Strong"/>
              </w:rPr>
              <w:t>Data Delivered To:</w:t>
            </w:r>
          </w:p>
        </w:tc>
        <w:tc>
          <w:tcPr>
            <w:tcW w:w="7830" w:type="dxa"/>
          </w:tcPr>
          <w:p w14:paraId="71A922DC" w14:textId="79AC2776" w:rsidR="001A5F7F" w:rsidRDefault="00486908" w:rsidP="00096DC9">
            <w:r>
              <w:t>SAFE virtual desktop folder</w:t>
            </w:r>
          </w:p>
        </w:tc>
      </w:tr>
      <w:tr w:rsidR="00A41E1B" w14:paraId="5AA29494" w14:textId="77777777" w:rsidTr="00322D01">
        <w:tc>
          <w:tcPr>
            <w:tcW w:w="1260" w:type="dxa"/>
          </w:tcPr>
          <w:p w14:paraId="00A75172" w14:textId="2A2AC6D9" w:rsidR="00A41E1B" w:rsidRDefault="00A41E1B" w:rsidP="00CC24A4">
            <w:pPr>
              <w:rPr>
                <w:rStyle w:val="Strong"/>
              </w:rPr>
            </w:pPr>
            <w:r>
              <w:rPr>
                <w:rStyle w:val="Strong"/>
              </w:rPr>
              <w:t>Data Shared with external entity?</w:t>
            </w:r>
          </w:p>
        </w:tc>
        <w:tc>
          <w:tcPr>
            <w:tcW w:w="7830" w:type="dxa"/>
          </w:tcPr>
          <w:p w14:paraId="2DEC3B10" w14:textId="2B66AC06" w:rsidR="00A41E1B" w:rsidRDefault="00486908" w:rsidP="00A41E1B">
            <w:r>
              <w:t>No, but note that Dr. Althoff is a School of Public Health employee. A limited dataset will be provided.</w:t>
            </w:r>
          </w:p>
        </w:tc>
      </w:tr>
      <w:tr w:rsidR="007154BD" w14:paraId="274EFB79" w14:textId="77777777" w:rsidTr="00322D01">
        <w:tc>
          <w:tcPr>
            <w:tcW w:w="1260" w:type="dxa"/>
          </w:tcPr>
          <w:p w14:paraId="2EB31E44" w14:textId="77777777" w:rsidR="007154BD" w:rsidRDefault="007154BD" w:rsidP="00CC24A4">
            <w:pPr>
              <w:rPr>
                <w:rStyle w:val="Strong"/>
              </w:rPr>
            </w:pPr>
            <w:r>
              <w:rPr>
                <w:rStyle w:val="Strong"/>
              </w:rPr>
              <w:t>Work Estimate</w:t>
            </w:r>
          </w:p>
        </w:tc>
        <w:tc>
          <w:tcPr>
            <w:tcW w:w="7830" w:type="dxa"/>
          </w:tcPr>
          <w:p w14:paraId="289CED79" w14:textId="23CB93C2" w:rsidR="007154BD" w:rsidRDefault="00486908" w:rsidP="0078175C">
            <w:r>
              <w:t>5-10 hours @ $118/hour = $590-$1,180</w:t>
            </w:r>
          </w:p>
        </w:tc>
      </w:tr>
    </w:tbl>
    <w:p w14:paraId="1C12137F" w14:textId="77777777" w:rsidR="00394EBF" w:rsidRDefault="00394EBF" w:rsidP="00322D01"/>
    <w:p w14:paraId="7C82AE00" w14:textId="77777777" w:rsidR="00394EBF" w:rsidRDefault="00394EBF" w:rsidP="00322D01"/>
    <w:p w14:paraId="3C5A1F0D" w14:textId="77777777" w:rsidR="00B50977" w:rsidRDefault="00B50977" w:rsidP="00322D01"/>
    <w:p w14:paraId="686602AC" w14:textId="77777777" w:rsidR="00B50977" w:rsidRDefault="00B50977" w:rsidP="00322D01">
      <w:r>
        <w:tab/>
      </w:r>
      <w:r>
        <w:tab/>
      </w:r>
    </w:p>
    <w:p w14:paraId="2C816F3B" w14:textId="77777777" w:rsidR="0087726B" w:rsidRDefault="0087726B" w:rsidP="00322D01"/>
    <w:p w14:paraId="7C94EFBD" w14:textId="77777777" w:rsidR="00E42155" w:rsidRDefault="00144496" w:rsidP="00322D01">
      <w:r>
        <w:tab/>
      </w:r>
    </w:p>
    <w:p w14:paraId="78BE2689" w14:textId="77777777" w:rsidR="0087547F" w:rsidRDefault="0078175C" w:rsidP="00BE1BB5">
      <w:pPr>
        <w:spacing w:after="200" w:line="276" w:lineRule="auto"/>
      </w:pPr>
      <w:r>
        <w:br w:type="page"/>
      </w:r>
    </w:p>
    <w:p w14:paraId="31D93FCB" w14:textId="77777777" w:rsidR="0087547F" w:rsidRDefault="0087547F" w:rsidP="00322D01"/>
    <w:p w14:paraId="7671297B" w14:textId="77777777" w:rsidR="00715108" w:rsidRDefault="002E1E21" w:rsidP="002E1E21">
      <w:pPr>
        <w:pStyle w:val="Heading1"/>
      </w:pPr>
      <w:r>
        <w:t>Inclusion criteria</w:t>
      </w:r>
      <w:r w:rsidR="00BE1BB5">
        <w:t xml:space="preserve"> </w:t>
      </w:r>
    </w:p>
    <w:p w14:paraId="6E51529C" w14:textId="77777777" w:rsidR="00A0115E" w:rsidRPr="00A0115E" w:rsidRDefault="00A0115E" w:rsidP="00A0115E">
      <w:r>
        <w:t>Only patients with the following criteria will be included in the extract results:</w:t>
      </w:r>
    </w:p>
    <w:p w14:paraId="30DC6B98" w14:textId="77777777" w:rsidR="00296E97" w:rsidRDefault="00296E97" w:rsidP="00296E97"/>
    <w:p w14:paraId="1845376D" w14:textId="00913A23" w:rsidR="006152C2" w:rsidRDefault="00486908" w:rsidP="00A0115E">
      <w:pPr>
        <w:ind w:left="360"/>
      </w:pPr>
      <w:r>
        <w:t xml:space="preserve">Individuals </w:t>
      </w:r>
      <w:r w:rsidR="009A0195">
        <w:t xml:space="preserve">who received their first dose of mRNA COVID-19 vaccine at a Hopkins “pop-up” vaccination clinic between January 27, 2021 and March 9, 2021. The clinic was hosted in senior public housing communities in Washington, DC, so most patients are &gt;= 65 years of age. </w:t>
      </w:r>
    </w:p>
    <w:p w14:paraId="5E6FFC2C" w14:textId="092A0B51" w:rsidR="009A0195" w:rsidRDefault="009A0195" w:rsidP="00A0115E">
      <w:pPr>
        <w:ind w:left="360"/>
      </w:pPr>
    </w:p>
    <w:p w14:paraId="71B5D994" w14:textId="77777777" w:rsidR="009A0195" w:rsidRDefault="009A0195" w:rsidP="009A0195">
      <w:pPr>
        <w:ind w:left="360"/>
      </w:pPr>
      <w:r>
        <w:t>Epic medical record numbers were created for each patient, and the pop-up clinic is associated with the following Epic department:</w:t>
      </w:r>
    </w:p>
    <w:p w14:paraId="1C92F939" w14:textId="77777777" w:rsidR="009A0195" w:rsidRDefault="009A0195" w:rsidP="009A0195">
      <w:pPr>
        <w:ind w:left="360"/>
      </w:pPr>
    </w:p>
    <w:p w14:paraId="33AA9D20" w14:textId="27D812A5" w:rsidR="009A0195" w:rsidRDefault="009A0195" w:rsidP="009A0195">
      <w:pPr>
        <w:ind w:left="360"/>
      </w:pPr>
      <w:proofErr w:type="spellStart"/>
      <w:r>
        <w:t>Department_ID</w:t>
      </w:r>
      <w:proofErr w:type="spellEnd"/>
      <w:r>
        <w:t>: 110400336</w:t>
      </w:r>
    </w:p>
    <w:p w14:paraId="335A9883" w14:textId="5722D0F8" w:rsidR="009A0195" w:rsidRDefault="009A0195" w:rsidP="009A0195">
      <w:pPr>
        <w:ind w:left="360"/>
      </w:pPr>
      <w:proofErr w:type="spellStart"/>
      <w:r>
        <w:t>Department_Name</w:t>
      </w:r>
      <w:proofErr w:type="spellEnd"/>
      <w:r>
        <w:t>: SMH REMOTE COVID VAC</w:t>
      </w:r>
    </w:p>
    <w:p w14:paraId="6DB79C8C" w14:textId="37FD9AA0" w:rsidR="009A0195" w:rsidRDefault="009A0195" w:rsidP="009A0195">
      <w:pPr>
        <w:ind w:left="360"/>
      </w:pPr>
    </w:p>
    <w:p w14:paraId="1721B808" w14:textId="3758D3EC" w:rsidR="009A0195" w:rsidRDefault="009A0195" w:rsidP="009A0195">
      <w:pPr>
        <w:ind w:left="360"/>
      </w:pPr>
      <w:r>
        <w:t>The study team expects around 1,000 – 2,000 patients to qualify for inclusion.</w:t>
      </w:r>
    </w:p>
    <w:p w14:paraId="2DE731C5" w14:textId="77777777" w:rsidR="0087726B" w:rsidRDefault="0087726B" w:rsidP="00322D01"/>
    <w:p w14:paraId="196D1A33" w14:textId="77777777" w:rsidR="00715108" w:rsidRDefault="002E1E21" w:rsidP="002E1E21">
      <w:pPr>
        <w:pStyle w:val="Heading1"/>
      </w:pPr>
      <w:r>
        <w:t>Exclusion criteria</w:t>
      </w:r>
    </w:p>
    <w:p w14:paraId="0992E2E2" w14:textId="77777777" w:rsidR="00296E97" w:rsidRPr="00296E97" w:rsidRDefault="00296E97" w:rsidP="00296E97">
      <w:r>
        <w:t>Patients with the following criteria will be excluded from the extract results:</w:t>
      </w:r>
    </w:p>
    <w:p w14:paraId="05A6F8F1" w14:textId="77777777" w:rsidR="00BE1BB5" w:rsidRDefault="00BE1BB5" w:rsidP="00322D01"/>
    <w:p w14:paraId="71A8EF05" w14:textId="2310D0B1" w:rsidR="00BE1BB5" w:rsidRDefault="009A0195" w:rsidP="00322D01">
      <w:r>
        <w:t>None</w:t>
      </w:r>
    </w:p>
    <w:p w14:paraId="78E678DE" w14:textId="77777777" w:rsidR="00BE1BB5" w:rsidRDefault="00BE1BB5" w:rsidP="00322D01"/>
    <w:p w14:paraId="3CB7C5C6" w14:textId="77777777" w:rsidR="00392D3F" w:rsidRDefault="00392D3F">
      <w:pPr>
        <w:spacing w:after="200" w:line="276" w:lineRule="auto"/>
      </w:pPr>
      <w:r>
        <w:br w:type="page"/>
      </w:r>
    </w:p>
    <w:p w14:paraId="712B10C6" w14:textId="77777777" w:rsidR="00BE1BB5" w:rsidRDefault="00CB5060" w:rsidP="00BE1BB5">
      <w:pPr>
        <w:pStyle w:val="Heading1"/>
      </w:pPr>
      <w:r>
        <w:lastRenderedPageBreak/>
        <w:t>Extract Sections and</w:t>
      </w:r>
      <w:r w:rsidR="00BE1BB5">
        <w:t xml:space="preserve"> Format</w:t>
      </w:r>
    </w:p>
    <w:p w14:paraId="6072C772" w14:textId="2560250A" w:rsidR="00BE1BB5" w:rsidRDefault="00BE1BB5" w:rsidP="00BE1BB5">
      <w:r w:rsidRPr="009A0195">
        <w:t>The extract</w:t>
      </w:r>
      <w:r w:rsidR="00296E97" w:rsidRPr="009A0195">
        <w:t xml:space="preserve"> output </w:t>
      </w:r>
      <w:r w:rsidRPr="009A0195">
        <w:t>will consist of</w:t>
      </w:r>
      <w:r w:rsidR="00923109" w:rsidRPr="009A0195">
        <w:t xml:space="preserve"> </w:t>
      </w:r>
      <w:r w:rsidR="009A0195" w:rsidRPr="009A0195">
        <w:t>the following</w:t>
      </w:r>
      <w:r w:rsidR="00DB6D40" w:rsidRPr="009A0195">
        <w:t xml:space="preserve"> section</w:t>
      </w:r>
      <w:r w:rsidR="007F32CB" w:rsidRPr="009A0195">
        <w:t>(s)</w:t>
      </w:r>
      <w:r w:rsidRPr="009A0195">
        <w:t>:</w:t>
      </w:r>
      <w:r>
        <w:t xml:space="preserve"> </w:t>
      </w:r>
    </w:p>
    <w:p w14:paraId="7479BD95" w14:textId="7D6AEBDF" w:rsidR="009A0195" w:rsidRDefault="009A0195" w:rsidP="00BE1BB5"/>
    <w:p w14:paraId="09E7B5D6" w14:textId="73B82655" w:rsidR="009A0195" w:rsidRDefault="009A0195" w:rsidP="009A0195">
      <w:pPr>
        <w:pStyle w:val="Heading2"/>
      </w:pPr>
      <w:r>
        <w:t>Patient List</w:t>
      </w:r>
    </w:p>
    <w:p w14:paraId="7AA38B61" w14:textId="0D75BD22" w:rsidR="009A0195" w:rsidRPr="009A0195" w:rsidRDefault="009A0195" w:rsidP="009A0195">
      <w:r>
        <w:t>One row per patient</w:t>
      </w:r>
    </w:p>
    <w:p w14:paraId="2E5A44F8" w14:textId="3D44AD68" w:rsidR="00BE1BB5" w:rsidRDefault="00BE1BB5" w:rsidP="00DB6D40">
      <w:pPr>
        <w:pStyle w:val="Heading2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35"/>
        <w:gridCol w:w="5755"/>
      </w:tblGrid>
      <w:tr w:rsidR="007F32CB" w:rsidRPr="00953EC7" w14:paraId="3DAC2602" w14:textId="6DA86EEC" w:rsidTr="009A0195">
        <w:tc>
          <w:tcPr>
            <w:tcW w:w="3235" w:type="dxa"/>
          </w:tcPr>
          <w:p w14:paraId="7AA24132" w14:textId="103AE489" w:rsidR="007F32CB" w:rsidRPr="00953EC7" w:rsidRDefault="007F32CB" w:rsidP="00475917">
            <w:pPr>
              <w:rPr>
                <w:b/>
              </w:rPr>
            </w:pPr>
            <w:r w:rsidRPr="00953EC7">
              <w:rPr>
                <w:b/>
              </w:rPr>
              <w:t>Data Element</w:t>
            </w:r>
          </w:p>
        </w:tc>
        <w:tc>
          <w:tcPr>
            <w:tcW w:w="5755" w:type="dxa"/>
          </w:tcPr>
          <w:p w14:paraId="71B43BBB" w14:textId="44D072E3" w:rsidR="007F32CB" w:rsidRPr="00953EC7" w:rsidRDefault="007F32CB" w:rsidP="0047591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F32CB" w:rsidRPr="00953EC7" w14:paraId="25A228FE" w14:textId="2A6479A2" w:rsidTr="009A0195">
        <w:tc>
          <w:tcPr>
            <w:tcW w:w="3235" w:type="dxa"/>
          </w:tcPr>
          <w:p w14:paraId="0CAEB6A9" w14:textId="2A3569D1" w:rsidR="007F32CB" w:rsidRPr="00953EC7" w:rsidRDefault="009A0195" w:rsidP="00475917">
            <w:proofErr w:type="spellStart"/>
            <w:r>
              <w:t>Patient_ID</w:t>
            </w:r>
            <w:proofErr w:type="spellEnd"/>
          </w:p>
        </w:tc>
        <w:tc>
          <w:tcPr>
            <w:tcW w:w="5755" w:type="dxa"/>
          </w:tcPr>
          <w:p w14:paraId="6B9B09B3" w14:textId="2B1C3208" w:rsidR="007F32CB" w:rsidRPr="00953EC7" w:rsidRDefault="009A0195" w:rsidP="00475917">
            <w:r>
              <w:t xml:space="preserve">De-identified </w:t>
            </w:r>
            <w:proofErr w:type="spellStart"/>
            <w:r>
              <w:t>identifer</w:t>
            </w:r>
            <w:proofErr w:type="spellEnd"/>
          </w:p>
        </w:tc>
      </w:tr>
      <w:tr w:rsidR="007F32CB" w:rsidRPr="00953EC7" w14:paraId="25DDE2F4" w14:textId="35D00DAA" w:rsidTr="009A0195">
        <w:tc>
          <w:tcPr>
            <w:tcW w:w="3235" w:type="dxa"/>
          </w:tcPr>
          <w:p w14:paraId="590B6992" w14:textId="4F8D4585" w:rsidR="007F32CB" w:rsidRPr="00953EC7" w:rsidRDefault="009A0195" w:rsidP="00475917">
            <w:r>
              <w:t>Age</w:t>
            </w:r>
          </w:p>
        </w:tc>
        <w:tc>
          <w:tcPr>
            <w:tcW w:w="5755" w:type="dxa"/>
          </w:tcPr>
          <w:p w14:paraId="09A9137E" w14:textId="4F1EF04B" w:rsidR="007F32CB" w:rsidRPr="00953EC7" w:rsidRDefault="009A0195" w:rsidP="00475917">
            <w:r>
              <w:t>With a limited dataset, actual age is permitted</w:t>
            </w:r>
          </w:p>
        </w:tc>
      </w:tr>
      <w:tr w:rsidR="007F32CB" w:rsidRPr="00953EC7" w14:paraId="7678670C" w14:textId="365D8F5B" w:rsidTr="009A0195">
        <w:tc>
          <w:tcPr>
            <w:tcW w:w="3235" w:type="dxa"/>
          </w:tcPr>
          <w:p w14:paraId="4C58671B" w14:textId="060253F5" w:rsidR="007F32CB" w:rsidRPr="00953EC7" w:rsidRDefault="009A0195" w:rsidP="00475917">
            <w:r>
              <w:t>Legal Gender</w:t>
            </w:r>
          </w:p>
        </w:tc>
        <w:tc>
          <w:tcPr>
            <w:tcW w:w="5755" w:type="dxa"/>
          </w:tcPr>
          <w:p w14:paraId="3E5173F2" w14:textId="57BB3117" w:rsidR="007F32CB" w:rsidRPr="00953EC7" w:rsidRDefault="007F32CB" w:rsidP="00475917"/>
        </w:tc>
      </w:tr>
      <w:tr w:rsidR="009A0195" w:rsidRPr="00953EC7" w14:paraId="3386EADA" w14:textId="77777777" w:rsidTr="009A0195">
        <w:tc>
          <w:tcPr>
            <w:tcW w:w="3235" w:type="dxa"/>
          </w:tcPr>
          <w:p w14:paraId="678E280B" w14:textId="7AA6453D" w:rsidR="009A0195" w:rsidRDefault="009A0195" w:rsidP="00475917">
            <w:r>
              <w:t>Preferred Gender</w:t>
            </w:r>
          </w:p>
        </w:tc>
        <w:tc>
          <w:tcPr>
            <w:tcW w:w="5755" w:type="dxa"/>
          </w:tcPr>
          <w:p w14:paraId="53A31C71" w14:textId="77777777" w:rsidR="009A0195" w:rsidRPr="00953EC7" w:rsidRDefault="009A0195" w:rsidP="00475917"/>
        </w:tc>
      </w:tr>
      <w:tr w:rsidR="009A0195" w:rsidRPr="00953EC7" w14:paraId="618F882D" w14:textId="77777777" w:rsidTr="009A0195">
        <w:tc>
          <w:tcPr>
            <w:tcW w:w="3235" w:type="dxa"/>
          </w:tcPr>
          <w:p w14:paraId="46BBE6A4" w14:textId="65194CB1" w:rsidR="009A0195" w:rsidRDefault="00C5638F" w:rsidP="00475917">
            <w:r>
              <w:t>Race</w:t>
            </w:r>
          </w:p>
        </w:tc>
        <w:tc>
          <w:tcPr>
            <w:tcW w:w="5755" w:type="dxa"/>
          </w:tcPr>
          <w:p w14:paraId="318BF700" w14:textId="2DA425E2" w:rsidR="009A0195" w:rsidRPr="00953EC7" w:rsidRDefault="00C5638F" w:rsidP="00475917">
            <w:r>
              <w:t>Primary race selected</w:t>
            </w:r>
          </w:p>
        </w:tc>
      </w:tr>
      <w:tr w:rsidR="00C5638F" w:rsidRPr="00953EC7" w14:paraId="601450BD" w14:textId="77777777" w:rsidTr="009A0195">
        <w:tc>
          <w:tcPr>
            <w:tcW w:w="3235" w:type="dxa"/>
          </w:tcPr>
          <w:p w14:paraId="1007C459" w14:textId="737FBE3E" w:rsidR="00C5638F" w:rsidRDefault="00C5638F" w:rsidP="00475917">
            <w:r>
              <w:t>Hispanic</w:t>
            </w:r>
          </w:p>
        </w:tc>
        <w:tc>
          <w:tcPr>
            <w:tcW w:w="5755" w:type="dxa"/>
          </w:tcPr>
          <w:p w14:paraId="15044694" w14:textId="346712E6" w:rsidR="00C5638F" w:rsidRDefault="00C5638F" w:rsidP="00475917">
            <w:r>
              <w:t>Y/N</w:t>
            </w:r>
          </w:p>
        </w:tc>
      </w:tr>
      <w:tr w:rsidR="00C5638F" w:rsidRPr="00953EC7" w14:paraId="7E42B553" w14:textId="77777777" w:rsidTr="009A0195">
        <w:tc>
          <w:tcPr>
            <w:tcW w:w="3235" w:type="dxa"/>
          </w:tcPr>
          <w:p w14:paraId="42B169B1" w14:textId="7641D955" w:rsidR="00C5638F" w:rsidRDefault="00C5638F" w:rsidP="00475917">
            <w:r>
              <w:t>Zip code</w:t>
            </w:r>
          </w:p>
        </w:tc>
        <w:tc>
          <w:tcPr>
            <w:tcW w:w="5755" w:type="dxa"/>
          </w:tcPr>
          <w:p w14:paraId="2B307D46" w14:textId="020719FC" w:rsidR="00C5638F" w:rsidRDefault="00C5638F" w:rsidP="00475917">
            <w:r>
              <w:t>5-digit</w:t>
            </w:r>
          </w:p>
        </w:tc>
      </w:tr>
      <w:tr w:rsidR="00C5638F" w:rsidRPr="00953EC7" w14:paraId="0BE267CE" w14:textId="77777777" w:rsidTr="009A0195">
        <w:tc>
          <w:tcPr>
            <w:tcW w:w="3235" w:type="dxa"/>
          </w:tcPr>
          <w:p w14:paraId="0EB73CCE" w14:textId="0322CA36" w:rsidR="00C5638F" w:rsidRDefault="00C5638F" w:rsidP="00475917">
            <w:r>
              <w:t>Preferred Language</w:t>
            </w:r>
          </w:p>
        </w:tc>
        <w:tc>
          <w:tcPr>
            <w:tcW w:w="5755" w:type="dxa"/>
          </w:tcPr>
          <w:p w14:paraId="26A465CE" w14:textId="77777777" w:rsidR="00C5638F" w:rsidRDefault="00C5638F" w:rsidP="00475917"/>
        </w:tc>
      </w:tr>
      <w:tr w:rsidR="00C5638F" w:rsidRPr="00953EC7" w14:paraId="0E28D755" w14:textId="77777777" w:rsidTr="009A0195">
        <w:tc>
          <w:tcPr>
            <w:tcW w:w="3235" w:type="dxa"/>
          </w:tcPr>
          <w:p w14:paraId="7AB559E1" w14:textId="05504DE4" w:rsidR="00C5638F" w:rsidRDefault="00C5638F" w:rsidP="00475917">
            <w:r>
              <w:t>Translator Required</w:t>
            </w:r>
          </w:p>
        </w:tc>
        <w:tc>
          <w:tcPr>
            <w:tcW w:w="5755" w:type="dxa"/>
          </w:tcPr>
          <w:p w14:paraId="1A46188F" w14:textId="715BF176" w:rsidR="00C5638F" w:rsidRDefault="00C5638F" w:rsidP="00475917">
            <w:r>
              <w:t>Y/N</w:t>
            </w:r>
          </w:p>
        </w:tc>
      </w:tr>
      <w:tr w:rsidR="00C5638F" w:rsidRPr="00953EC7" w14:paraId="6B69CA52" w14:textId="77777777" w:rsidTr="009A0195">
        <w:tc>
          <w:tcPr>
            <w:tcW w:w="3235" w:type="dxa"/>
          </w:tcPr>
          <w:p w14:paraId="006D56F0" w14:textId="0F37ED20" w:rsidR="00C5638F" w:rsidRDefault="00C5638F" w:rsidP="00475917">
            <w:r>
              <w:t>Vaccine Type</w:t>
            </w:r>
          </w:p>
        </w:tc>
        <w:tc>
          <w:tcPr>
            <w:tcW w:w="5755" w:type="dxa"/>
          </w:tcPr>
          <w:p w14:paraId="7DACDB66" w14:textId="372EB989" w:rsidR="00C5638F" w:rsidRDefault="00C5638F" w:rsidP="00475917">
            <w:r>
              <w:t xml:space="preserve">Pfizer, </w:t>
            </w:r>
            <w:proofErr w:type="spellStart"/>
            <w:r>
              <w:t>Moderna</w:t>
            </w:r>
            <w:proofErr w:type="spellEnd"/>
            <w:r>
              <w:t>, etc.</w:t>
            </w:r>
          </w:p>
        </w:tc>
      </w:tr>
      <w:tr w:rsidR="00C5638F" w:rsidRPr="00953EC7" w14:paraId="1DEFB197" w14:textId="77777777" w:rsidTr="009A0195">
        <w:tc>
          <w:tcPr>
            <w:tcW w:w="3235" w:type="dxa"/>
          </w:tcPr>
          <w:p w14:paraId="0F5FCC50" w14:textId="5E4ABABE" w:rsidR="00C5638F" w:rsidRDefault="00C5638F" w:rsidP="00475917">
            <w:r>
              <w:t>Vaccine Date – Dose 1</w:t>
            </w:r>
          </w:p>
        </w:tc>
        <w:tc>
          <w:tcPr>
            <w:tcW w:w="5755" w:type="dxa"/>
          </w:tcPr>
          <w:p w14:paraId="692DD275" w14:textId="77777777" w:rsidR="00C5638F" w:rsidRDefault="00C5638F" w:rsidP="00475917"/>
        </w:tc>
      </w:tr>
      <w:tr w:rsidR="00C5638F" w:rsidRPr="00953EC7" w14:paraId="6374143C" w14:textId="77777777" w:rsidTr="009A0195">
        <w:tc>
          <w:tcPr>
            <w:tcW w:w="3235" w:type="dxa"/>
          </w:tcPr>
          <w:p w14:paraId="17E9CB0A" w14:textId="181DE425" w:rsidR="00C5638F" w:rsidRDefault="00C5638F" w:rsidP="00475917">
            <w:r>
              <w:t>Vaccine Date – Dose 2</w:t>
            </w:r>
          </w:p>
        </w:tc>
        <w:tc>
          <w:tcPr>
            <w:tcW w:w="5755" w:type="dxa"/>
          </w:tcPr>
          <w:p w14:paraId="7F1F00F1" w14:textId="77777777" w:rsidR="00C5638F" w:rsidRDefault="00C5638F" w:rsidP="00475917"/>
        </w:tc>
      </w:tr>
      <w:tr w:rsidR="00C5638F" w:rsidRPr="00953EC7" w14:paraId="207897D4" w14:textId="77777777" w:rsidTr="009A0195">
        <w:tc>
          <w:tcPr>
            <w:tcW w:w="3235" w:type="dxa"/>
          </w:tcPr>
          <w:p w14:paraId="65DD06E5" w14:textId="71FBF0C7" w:rsidR="00C5638F" w:rsidRDefault="00C5638F" w:rsidP="00475917">
            <w:r>
              <w:t>Previous encounter at JHM?</w:t>
            </w:r>
          </w:p>
        </w:tc>
        <w:tc>
          <w:tcPr>
            <w:tcW w:w="5755" w:type="dxa"/>
          </w:tcPr>
          <w:p w14:paraId="6B5E6C96" w14:textId="1D879D34" w:rsidR="00C5638F" w:rsidRDefault="00C5638F" w:rsidP="00475917">
            <w:r>
              <w:t>Y/N – note that Epic is the data source, so it is possible that the patient had a previous encounter prior to Epic go live and the encounter was not imported into Epic. This information may not be accurate.</w:t>
            </w:r>
          </w:p>
        </w:tc>
      </w:tr>
      <w:tr w:rsidR="00C762F0" w:rsidRPr="00953EC7" w14:paraId="3D91AD58" w14:textId="77777777" w:rsidTr="009A0195">
        <w:tc>
          <w:tcPr>
            <w:tcW w:w="3235" w:type="dxa"/>
          </w:tcPr>
          <w:p w14:paraId="4DB36D5D" w14:textId="0CCBEF0C" w:rsidR="00C762F0" w:rsidRDefault="00C762F0" w:rsidP="00C762F0">
            <w:r>
              <w:t>Date of death (when known) if occurring during the study period</w:t>
            </w:r>
          </w:p>
        </w:tc>
        <w:tc>
          <w:tcPr>
            <w:tcW w:w="5755" w:type="dxa"/>
          </w:tcPr>
          <w:p w14:paraId="77777A09" w14:textId="069E65DF" w:rsidR="00C762F0" w:rsidRDefault="00C762F0" w:rsidP="00C762F0">
            <w:r>
              <w:t xml:space="preserve">If a participant dies prior to the second dose, this information will provide a more complete understanding of the return rate for second dose; these data are likely to be </w:t>
            </w:r>
            <w:proofErr w:type="spellStart"/>
            <w:r>
              <w:t>underascertained</w:t>
            </w:r>
            <w:proofErr w:type="spellEnd"/>
            <w:r>
              <w:t>.</w:t>
            </w:r>
          </w:p>
        </w:tc>
      </w:tr>
      <w:tr w:rsidR="00C762F0" w:rsidRPr="00953EC7" w14:paraId="1EB7EB56" w14:textId="77777777" w:rsidTr="009A0195">
        <w:tc>
          <w:tcPr>
            <w:tcW w:w="3235" w:type="dxa"/>
          </w:tcPr>
          <w:p w14:paraId="3624C4F0" w14:textId="05B6CC92" w:rsidR="00C762F0" w:rsidRPr="00C762F0" w:rsidRDefault="00C762F0" w:rsidP="00C762F0">
            <w:r w:rsidRPr="00C762F0">
              <w:t xml:space="preserve">Reason for not receiving second dose </w:t>
            </w:r>
          </w:p>
        </w:tc>
        <w:tc>
          <w:tcPr>
            <w:tcW w:w="5755" w:type="dxa"/>
          </w:tcPr>
          <w:p w14:paraId="3BA40746" w14:textId="50D2A520" w:rsidR="00C762F0" w:rsidRPr="00C762F0" w:rsidRDefault="00C762F0" w:rsidP="00C762F0">
            <w:r w:rsidRPr="00C762F0">
              <w:t xml:space="preserve">If applicable. The CCDA will link Epic data with data collected by a community healthcare worker and will aggregate reasons to avoid disclosing identity. </w:t>
            </w:r>
          </w:p>
        </w:tc>
      </w:tr>
    </w:tbl>
    <w:p w14:paraId="4B1185A9" w14:textId="2A252616" w:rsidR="00040E38" w:rsidRDefault="00040E38">
      <w:pPr>
        <w:spacing w:after="200" w:line="276" w:lineRule="auto"/>
      </w:pPr>
      <w:r>
        <w:br w:type="page"/>
      </w:r>
    </w:p>
    <w:p w14:paraId="4A500467" w14:textId="77777777" w:rsidR="00C14192" w:rsidRDefault="00C14192">
      <w:pPr>
        <w:spacing w:after="200" w:line="276" w:lineRule="auto"/>
        <w:rPr>
          <w:rFonts w:asciiTheme="majorHAnsi" w:eastAsia="Times" w:hAnsiTheme="majorHAnsi" w:cs="Times New Roman"/>
          <w:b/>
          <w:sz w:val="24"/>
          <w:szCs w:val="20"/>
        </w:rPr>
      </w:pPr>
    </w:p>
    <w:p w14:paraId="4BB6148D" w14:textId="345E8365" w:rsidR="00B755EA" w:rsidRDefault="009C346A" w:rsidP="007154BD">
      <w:pPr>
        <w:pStyle w:val="Heading1"/>
      </w:pPr>
      <w:r>
        <w:t>Comments</w:t>
      </w:r>
    </w:p>
    <w:p w14:paraId="34405D70" w14:textId="189B9226" w:rsidR="00386A94" w:rsidRPr="00F6146A" w:rsidRDefault="00386A94" w:rsidP="00010B92">
      <w:pPr>
        <w:pStyle w:val="ListParagraph"/>
        <w:numPr>
          <w:ilvl w:val="0"/>
          <w:numId w:val="23"/>
        </w:numPr>
        <w:spacing w:after="200" w:line="276" w:lineRule="auto"/>
        <w:rPr>
          <w:rFonts w:cs="Arial"/>
          <w:color w:val="262626"/>
          <w:sz w:val="24"/>
          <w:szCs w:val="24"/>
        </w:rPr>
      </w:pPr>
      <w:r w:rsidRPr="00386A94">
        <w:rPr>
          <w:rFonts w:cs="Arial"/>
          <w:color w:val="262626"/>
          <w:sz w:val="24"/>
          <w:szCs w:val="24"/>
        </w:rPr>
        <w:t>Data is provided in alignment with your IRB approval. Data provided may not be used to secure additional data for purposes not approved for your study.</w:t>
      </w:r>
    </w:p>
    <w:p w14:paraId="46C46982" w14:textId="77777777" w:rsidR="00F6146A" w:rsidRPr="00012FAE" w:rsidRDefault="00F6146A" w:rsidP="007F32CB">
      <w:pPr>
        <w:spacing w:after="200" w:line="276" w:lineRule="auto"/>
        <w:rPr>
          <w:rFonts w:cs="Arial"/>
          <w:color w:val="262626"/>
          <w:sz w:val="24"/>
          <w:szCs w:val="24"/>
        </w:rPr>
      </w:pPr>
      <w:bookmarkStart w:id="0" w:name="_GoBack"/>
      <w:bookmarkEnd w:id="0"/>
    </w:p>
    <w:sectPr w:rsidR="00F6146A" w:rsidRPr="00012FAE" w:rsidSect="009219AE">
      <w:footerReference w:type="default" r:id="rId10"/>
      <w:pgSz w:w="12240" w:h="15840"/>
      <w:pgMar w:top="1440" w:right="1440" w:bottom="1440" w:left="1440" w:header="720" w:footer="1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E144F" w14:textId="77777777" w:rsidR="00FB1B25" w:rsidRDefault="00FB1B25" w:rsidP="00322D01">
      <w:r>
        <w:separator/>
      </w:r>
    </w:p>
  </w:endnote>
  <w:endnote w:type="continuationSeparator" w:id="0">
    <w:p w14:paraId="4E8A20A5" w14:textId="77777777" w:rsidR="00FB1B25" w:rsidRDefault="00FB1B25" w:rsidP="00322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68613" w14:textId="77777777" w:rsidR="006D62BA" w:rsidRDefault="006D62BA" w:rsidP="009219AE">
    <w:pPr>
      <w:pStyle w:val="CommentText"/>
      <w:jc w:val="center"/>
      <w:rPr>
        <w:noProof/>
      </w:rPr>
    </w:pPr>
  </w:p>
  <w:p w14:paraId="0E224A91" w14:textId="77777777" w:rsidR="006D62BA" w:rsidRDefault="006D62BA" w:rsidP="009219AE">
    <w:pPr>
      <w:pStyle w:val="CommentText"/>
      <w:jc w:val="center"/>
      <w:rPr>
        <w:noProof/>
      </w:rPr>
    </w:pPr>
    <w:r>
      <w:rPr>
        <w:noProof/>
      </w:rPr>
      <w:t>CCDA Extract Specification</w:t>
    </w:r>
  </w:p>
  <w:p w14:paraId="549350FA" w14:textId="77777777" w:rsidR="006D62BA" w:rsidRDefault="006D62BA" w:rsidP="009219AE">
    <w:pPr>
      <w:pStyle w:val="CommentText"/>
      <w:jc w:val="center"/>
      <w:rPr>
        <w:noProof/>
      </w:rPr>
    </w:pPr>
  </w:p>
  <w:p w14:paraId="3296586B" w14:textId="77777777" w:rsidR="006D62BA" w:rsidRDefault="006D62BA" w:rsidP="009219AE">
    <w:pPr>
      <w:pStyle w:val="CommentText"/>
      <w:jc w:val="center"/>
    </w:pPr>
    <w:r>
      <w:rPr>
        <w:noProof/>
      </w:rPr>
      <w:drawing>
        <wp:inline distT="0" distB="0" distL="0" distR="0" wp14:anchorId="5680AD14" wp14:editId="217CCDD5">
          <wp:extent cx="1808828" cy="52543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1087" cy="526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CAD34B" w14:textId="5779A523" w:rsidR="006D62BA" w:rsidRDefault="006D62BA" w:rsidP="009219AE">
    <w:pPr>
      <w:pStyle w:val="CommentText"/>
      <w:jc w:val="center"/>
    </w:pPr>
    <w:r>
      <w:t xml:space="preserve">CCDA – The </w:t>
    </w:r>
    <w:r w:rsidR="00E72D55">
      <w:t>Core for Clinical Research Data Acquisition</w:t>
    </w:r>
    <w:r>
      <w:t xml:space="preserve">:  </w:t>
    </w:r>
    <w:hyperlink r:id="rId2" w:history="1">
      <w:r w:rsidRPr="009A12F6">
        <w:rPr>
          <w:rStyle w:val="Hyperlink"/>
        </w:rPr>
        <w:t>email: CCDA@JHMI.EDU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5EFD6" w14:textId="77777777" w:rsidR="00FB1B25" w:rsidRDefault="00FB1B25" w:rsidP="00322D01">
      <w:r>
        <w:separator/>
      </w:r>
    </w:p>
  </w:footnote>
  <w:footnote w:type="continuationSeparator" w:id="0">
    <w:p w14:paraId="65DFC40E" w14:textId="77777777" w:rsidR="00FB1B25" w:rsidRDefault="00FB1B25" w:rsidP="00322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3D21"/>
    <w:multiLevelType w:val="hybridMultilevel"/>
    <w:tmpl w:val="9DA2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D6DD3"/>
    <w:multiLevelType w:val="hybridMultilevel"/>
    <w:tmpl w:val="24E23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B37B7"/>
    <w:multiLevelType w:val="hybridMultilevel"/>
    <w:tmpl w:val="3F9A7D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A40D6B"/>
    <w:multiLevelType w:val="hybridMultilevel"/>
    <w:tmpl w:val="C2B2D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C4683"/>
    <w:multiLevelType w:val="hybridMultilevel"/>
    <w:tmpl w:val="FC504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31FB9"/>
    <w:multiLevelType w:val="hybridMultilevel"/>
    <w:tmpl w:val="22B6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04DCC"/>
    <w:multiLevelType w:val="hybridMultilevel"/>
    <w:tmpl w:val="C3B8E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22DEA"/>
    <w:multiLevelType w:val="hybridMultilevel"/>
    <w:tmpl w:val="333CF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63B88"/>
    <w:multiLevelType w:val="hybridMultilevel"/>
    <w:tmpl w:val="93B4C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C7D7F"/>
    <w:multiLevelType w:val="hybridMultilevel"/>
    <w:tmpl w:val="C89CA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A6554"/>
    <w:multiLevelType w:val="hybridMultilevel"/>
    <w:tmpl w:val="3CD64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81040"/>
    <w:multiLevelType w:val="hybridMultilevel"/>
    <w:tmpl w:val="32460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F67EB"/>
    <w:multiLevelType w:val="hybridMultilevel"/>
    <w:tmpl w:val="CF30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7558D"/>
    <w:multiLevelType w:val="hybridMultilevel"/>
    <w:tmpl w:val="A806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442B6"/>
    <w:multiLevelType w:val="hybridMultilevel"/>
    <w:tmpl w:val="CF30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284CEE"/>
    <w:multiLevelType w:val="hybridMultilevel"/>
    <w:tmpl w:val="2266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43CF0"/>
    <w:multiLevelType w:val="hybridMultilevel"/>
    <w:tmpl w:val="E71A4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A5CAB"/>
    <w:multiLevelType w:val="hybridMultilevel"/>
    <w:tmpl w:val="A2FAE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10F8C"/>
    <w:multiLevelType w:val="hybridMultilevel"/>
    <w:tmpl w:val="CFD6DA70"/>
    <w:lvl w:ilvl="0" w:tplc="D8FE1A0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D113B"/>
    <w:multiLevelType w:val="hybridMultilevel"/>
    <w:tmpl w:val="675E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34086"/>
    <w:multiLevelType w:val="hybridMultilevel"/>
    <w:tmpl w:val="ED8CA4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FD54F3"/>
    <w:multiLevelType w:val="hybridMultilevel"/>
    <w:tmpl w:val="7000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B3E09"/>
    <w:multiLevelType w:val="hybridMultilevel"/>
    <w:tmpl w:val="C89CA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24508"/>
    <w:multiLevelType w:val="hybridMultilevel"/>
    <w:tmpl w:val="04DEF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15"/>
  </w:num>
  <w:num w:numId="4">
    <w:abstractNumId w:val="13"/>
  </w:num>
  <w:num w:numId="5">
    <w:abstractNumId w:val="20"/>
  </w:num>
  <w:num w:numId="6">
    <w:abstractNumId w:val="2"/>
  </w:num>
  <w:num w:numId="7">
    <w:abstractNumId w:val="21"/>
  </w:num>
  <w:num w:numId="8">
    <w:abstractNumId w:val="23"/>
  </w:num>
  <w:num w:numId="9">
    <w:abstractNumId w:val="18"/>
  </w:num>
  <w:num w:numId="10">
    <w:abstractNumId w:val="10"/>
  </w:num>
  <w:num w:numId="11">
    <w:abstractNumId w:val="0"/>
  </w:num>
  <w:num w:numId="12">
    <w:abstractNumId w:val="8"/>
  </w:num>
  <w:num w:numId="13">
    <w:abstractNumId w:val="11"/>
  </w:num>
  <w:num w:numId="14">
    <w:abstractNumId w:val="14"/>
  </w:num>
  <w:num w:numId="15">
    <w:abstractNumId w:val="12"/>
  </w:num>
  <w:num w:numId="16">
    <w:abstractNumId w:val="16"/>
  </w:num>
  <w:num w:numId="17">
    <w:abstractNumId w:val="9"/>
  </w:num>
  <w:num w:numId="18">
    <w:abstractNumId w:val="22"/>
  </w:num>
  <w:num w:numId="19">
    <w:abstractNumId w:val="1"/>
  </w:num>
  <w:num w:numId="20">
    <w:abstractNumId w:val="5"/>
  </w:num>
  <w:num w:numId="21">
    <w:abstractNumId w:val="17"/>
  </w:num>
  <w:num w:numId="22">
    <w:abstractNumId w:val="6"/>
  </w:num>
  <w:num w:numId="23">
    <w:abstractNumId w:val="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FBE"/>
    <w:rsid w:val="00010B92"/>
    <w:rsid w:val="00040E38"/>
    <w:rsid w:val="000539ED"/>
    <w:rsid w:val="000767CC"/>
    <w:rsid w:val="00096DC9"/>
    <w:rsid w:val="000F3312"/>
    <w:rsid w:val="000F3373"/>
    <w:rsid w:val="00111619"/>
    <w:rsid w:val="0012586B"/>
    <w:rsid w:val="00144496"/>
    <w:rsid w:val="00145052"/>
    <w:rsid w:val="00161BBD"/>
    <w:rsid w:val="001813A0"/>
    <w:rsid w:val="001A5F7F"/>
    <w:rsid w:val="001C1C85"/>
    <w:rsid w:val="001C1D48"/>
    <w:rsid w:val="001C3D72"/>
    <w:rsid w:val="001E0A3B"/>
    <w:rsid w:val="001E5FAB"/>
    <w:rsid w:val="0023687D"/>
    <w:rsid w:val="00240D5C"/>
    <w:rsid w:val="00251D55"/>
    <w:rsid w:val="002575D3"/>
    <w:rsid w:val="00260A54"/>
    <w:rsid w:val="002823C5"/>
    <w:rsid w:val="00285777"/>
    <w:rsid w:val="00290F09"/>
    <w:rsid w:val="00296E97"/>
    <w:rsid w:val="002D7384"/>
    <w:rsid w:val="002E1E21"/>
    <w:rsid w:val="002E22B7"/>
    <w:rsid w:val="00322D01"/>
    <w:rsid w:val="00331C06"/>
    <w:rsid w:val="00355617"/>
    <w:rsid w:val="00374B8A"/>
    <w:rsid w:val="00386A94"/>
    <w:rsid w:val="00392D3F"/>
    <w:rsid w:val="00394EBF"/>
    <w:rsid w:val="003A2EEC"/>
    <w:rsid w:val="003C4F6C"/>
    <w:rsid w:val="003D6141"/>
    <w:rsid w:val="00404AE9"/>
    <w:rsid w:val="004432E5"/>
    <w:rsid w:val="00451B2B"/>
    <w:rsid w:val="00480786"/>
    <w:rsid w:val="00486908"/>
    <w:rsid w:val="004D74EC"/>
    <w:rsid w:val="004E06FC"/>
    <w:rsid w:val="00571DD7"/>
    <w:rsid w:val="005D072E"/>
    <w:rsid w:val="005D6BF7"/>
    <w:rsid w:val="005E69E9"/>
    <w:rsid w:val="00612D5F"/>
    <w:rsid w:val="006137D0"/>
    <w:rsid w:val="006152C2"/>
    <w:rsid w:val="00635632"/>
    <w:rsid w:val="00652FA0"/>
    <w:rsid w:val="00694EBA"/>
    <w:rsid w:val="006B35AD"/>
    <w:rsid w:val="006D4F55"/>
    <w:rsid w:val="006D62BA"/>
    <w:rsid w:val="006D7E35"/>
    <w:rsid w:val="006E3274"/>
    <w:rsid w:val="006F0D79"/>
    <w:rsid w:val="00712AF9"/>
    <w:rsid w:val="00715108"/>
    <w:rsid w:val="007154BD"/>
    <w:rsid w:val="00762D44"/>
    <w:rsid w:val="0078175C"/>
    <w:rsid w:val="00794C75"/>
    <w:rsid w:val="007B355B"/>
    <w:rsid w:val="007B3D7C"/>
    <w:rsid w:val="007E6CDC"/>
    <w:rsid w:val="007E6DEE"/>
    <w:rsid w:val="007F32CB"/>
    <w:rsid w:val="007F492D"/>
    <w:rsid w:val="0080496B"/>
    <w:rsid w:val="008274BE"/>
    <w:rsid w:val="00862424"/>
    <w:rsid w:val="00872491"/>
    <w:rsid w:val="0087547F"/>
    <w:rsid w:val="0087726B"/>
    <w:rsid w:val="00893F6F"/>
    <w:rsid w:val="008A5B69"/>
    <w:rsid w:val="008D4704"/>
    <w:rsid w:val="008E4FBE"/>
    <w:rsid w:val="008E56D6"/>
    <w:rsid w:val="0091301E"/>
    <w:rsid w:val="00916931"/>
    <w:rsid w:val="009219AE"/>
    <w:rsid w:val="00923109"/>
    <w:rsid w:val="00953EC7"/>
    <w:rsid w:val="00994F91"/>
    <w:rsid w:val="00995CCB"/>
    <w:rsid w:val="009A0195"/>
    <w:rsid w:val="009A12F6"/>
    <w:rsid w:val="009B75B4"/>
    <w:rsid w:val="009B75F3"/>
    <w:rsid w:val="009C346A"/>
    <w:rsid w:val="009F3EB7"/>
    <w:rsid w:val="009F7D24"/>
    <w:rsid w:val="00A0115E"/>
    <w:rsid w:val="00A2659F"/>
    <w:rsid w:val="00A41E1B"/>
    <w:rsid w:val="00A861B7"/>
    <w:rsid w:val="00A93699"/>
    <w:rsid w:val="00AE4A36"/>
    <w:rsid w:val="00B362E4"/>
    <w:rsid w:val="00B4752D"/>
    <w:rsid w:val="00B47CF6"/>
    <w:rsid w:val="00B50977"/>
    <w:rsid w:val="00B54AC7"/>
    <w:rsid w:val="00B755EA"/>
    <w:rsid w:val="00B91789"/>
    <w:rsid w:val="00BC6460"/>
    <w:rsid w:val="00BC72C4"/>
    <w:rsid w:val="00BD1D81"/>
    <w:rsid w:val="00BE1BB5"/>
    <w:rsid w:val="00BE736B"/>
    <w:rsid w:val="00BF2C1B"/>
    <w:rsid w:val="00C01CAA"/>
    <w:rsid w:val="00C1195D"/>
    <w:rsid w:val="00C14192"/>
    <w:rsid w:val="00C26AC7"/>
    <w:rsid w:val="00C5316E"/>
    <w:rsid w:val="00C55EAA"/>
    <w:rsid w:val="00C5638F"/>
    <w:rsid w:val="00C762F0"/>
    <w:rsid w:val="00CB5060"/>
    <w:rsid w:val="00CC24A4"/>
    <w:rsid w:val="00CC497E"/>
    <w:rsid w:val="00CD4823"/>
    <w:rsid w:val="00CF19EE"/>
    <w:rsid w:val="00D00380"/>
    <w:rsid w:val="00D148EA"/>
    <w:rsid w:val="00D210FC"/>
    <w:rsid w:val="00D50964"/>
    <w:rsid w:val="00D66B4E"/>
    <w:rsid w:val="00DB6483"/>
    <w:rsid w:val="00DB6D40"/>
    <w:rsid w:val="00DB766A"/>
    <w:rsid w:val="00E11F85"/>
    <w:rsid w:val="00E42155"/>
    <w:rsid w:val="00E72D55"/>
    <w:rsid w:val="00EB654C"/>
    <w:rsid w:val="00ED63EC"/>
    <w:rsid w:val="00EE17D6"/>
    <w:rsid w:val="00EF5DE7"/>
    <w:rsid w:val="00F123DB"/>
    <w:rsid w:val="00F12B05"/>
    <w:rsid w:val="00F61276"/>
    <w:rsid w:val="00F6146A"/>
    <w:rsid w:val="00F74775"/>
    <w:rsid w:val="00F87A22"/>
    <w:rsid w:val="00FA647C"/>
    <w:rsid w:val="00FB1B25"/>
    <w:rsid w:val="00F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5E9D"/>
  <w15:docId w15:val="{080561FE-474A-4602-A7A9-E00AFCBB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D0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B362E4"/>
    <w:pPr>
      <w:keepNext/>
      <w:pBdr>
        <w:top w:val="single" w:sz="4" w:space="1" w:color="5F497A" w:themeColor="accent4" w:themeShade="BF"/>
      </w:pBdr>
      <w:spacing w:before="300" w:after="120"/>
      <w:ind w:left="-360"/>
      <w:outlineLvl w:val="0"/>
    </w:pPr>
    <w:rPr>
      <w:rFonts w:asciiTheme="majorHAnsi" w:eastAsia="Times" w:hAnsiTheme="majorHAnsi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7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73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7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3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362E4"/>
    <w:rPr>
      <w:rFonts w:asciiTheme="majorHAnsi" w:eastAsia="Times" w:hAnsiTheme="majorHAnsi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B36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2E4"/>
  </w:style>
  <w:style w:type="paragraph" w:styleId="Footer">
    <w:name w:val="footer"/>
    <w:basedOn w:val="Normal"/>
    <w:link w:val="FooterChar"/>
    <w:uiPriority w:val="99"/>
    <w:unhideWhenUsed/>
    <w:rsid w:val="00B36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2E4"/>
  </w:style>
  <w:style w:type="character" w:styleId="BookTitle">
    <w:name w:val="Book Title"/>
    <w:basedOn w:val="DefaultParagraphFont"/>
    <w:uiPriority w:val="33"/>
    <w:qFormat/>
    <w:rsid w:val="00B362E4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B36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22D01"/>
    <w:rPr>
      <w:b/>
      <w:bCs/>
    </w:rPr>
  </w:style>
  <w:style w:type="character" w:styleId="Hyperlink">
    <w:name w:val="Hyperlink"/>
    <w:basedOn w:val="DefaultParagraphFont"/>
    <w:uiPriority w:val="99"/>
    <w:unhideWhenUsed/>
    <w:rsid w:val="009A12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11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50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C1195D"/>
  </w:style>
  <w:style w:type="character" w:customStyle="1" w:styleId="Heading2Char">
    <w:name w:val="Heading 2 Char"/>
    <w:basedOn w:val="DefaultParagraphFont"/>
    <w:link w:val="Heading2"/>
    <w:uiPriority w:val="9"/>
    <w:rsid w:val="002857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CDA@JHMI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C6A5485C37D4F8D747EC6704E4702" ma:contentTypeVersion="13" ma:contentTypeDescription="Create a new document." ma:contentTypeScope="" ma:versionID="1ed12c9b371621b506d638418a55a5e3">
  <xsd:schema xmlns:xsd="http://www.w3.org/2001/XMLSchema" xmlns:xs="http://www.w3.org/2001/XMLSchema" xmlns:p="http://schemas.microsoft.com/office/2006/metadata/properties" xmlns:ns3="f66c37e7-028f-4195-a7a3-f01105450ad8" xmlns:ns4="1a6a81fd-a9b4-4455-95a9-0c71f78ed522" targetNamespace="http://schemas.microsoft.com/office/2006/metadata/properties" ma:root="true" ma:fieldsID="827f88ec519d20b3af03aff3d835003b" ns3:_="" ns4:_="">
    <xsd:import namespace="f66c37e7-028f-4195-a7a3-f01105450ad8"/>
    <xsd:import namespace="1a6a81fd-a9b4-4455-95a9-0c71f78ed5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c37e7-028f-4195-a7a3-f01105450a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a81fd-a9b4-4455-95a9-0c71f78ed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94EAB4-9A6D-44D7-B32D-1CCD54FD3282}">
  <ds:schemaRefs>
    <ds:schemaRef ds:uri="http://purl.org/dc/elements/1.1/"/>
    <ds:schemaRef ds:uri="http://www.w3.org/XML/1998/namespace"/>
    <ds:schemaRef ds:uri="f66c37e7-028f-4195-a7a3-f01105450a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1a6a81fd-a9b4-4455-95a9-0c71f78ed522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8486DB5-577D-4CE2-BE69-EA78D07FD7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AB17A9-829F-47E6-9A87-83F3BDFC4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c37e7-028f-4195-a7a3-f01105450ad8"/>
    <ds:schemaRef ds:uri="1a6a81fd-a9b4-4455-95a9-0c71f78ed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CCDA Extract Specification template</vt:lpstr>
    </vt:vector>
  </TitlesOfParts>
  <Company>Johns Hopkins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CCDA Extract Specification template</dc:title>
  <dc:creator>Sam Meiselman</dc:creator>
  <cp:lastModifiedBy>Bonnie Woods</cp:lastModifiedBy>
  <cp:revision>2</cp:revision>
  <dcterms:created xsi:type="dcterms:W3CDTF">2021-05-18T16:12:00Z</dcterms:created>
  <dcterms:modified xsi:type="dcterms:W3CDTF">2021-05-18T16:12:00Z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0x010100BEBC6A5485C37D4F8D747EC6704E4702</vt:lpwstr>
  </property>
</Properties>
</file>