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734FF44B" w14:textId="6CF81352"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Se requiere un programa que permita </w:t>
      </w:r>
      <w:r w:rsidRPr="00430D10">
        <w:rPr>
          <w:rFonts w:ascii="Times New Roman" w:eastAsia="Times New Roman" w:hAnsi="Times New Roman" w:cs="Times New Roman"/>
          <w:color w:val="000000"/>
          <w:kern w:val="0"/>
          <w:sz w:val="24"/>
          <w:szCs w:val="24"/>
          <w:lang w:eastAsia="es-CO"/>
          <w14:ligatures w14:val="none"/>
        </w:rPr>
        <w:t>la gestión</w:t>
      </w:r>
      <w:r w:rsidRPr="00430D10">
        <w:rPr>
          <w:rFonts w:ascii="Times New Roman" w:eastAsia="Times New Roman" w:hAnsi="Times New Roman" w:cs="Times New Roman"/>
          <w:color w:val="000000"/>
          <w:kern w:val="0"/>
          <w:sz w:val="24"/>
          <w:szCs w:val="24"/>
          <w:lang w:eastAsia="es-CO"/>
          <w14:ligatures w14:val="none"/>
        </w:rPr>
        <w:t xml:space="preserve"> de tareas y recordatorios que permita a los usuarios agregar, organizar y administrar sus tareas pendientes y recordatorios.</w:t>
      </w:r>
    </w:p>
    <w:p w14:paraId="5D5BD53C" w14:textId="77777777" w:rsidR="00430D10" w:rsidRPr="00430D10" w:rsidRDefault="00430D10" w:rsidP="00430D10">
      <w:pPr>
        <w:spacing w:before="253" w:after="0" w:line="240" w:lineRule="auto"/>
        <w:ind w:left="15"/>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3BB42BF8"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proofErr w:type="gramStart"/>
      <w:r w:rsidRPr="00430D10">
        <w:rPr>
          <w:rFonts w:ascii="Times New Roman" w:eastAsia="Times New Roman" w:hAnsi="Times New Roman" w:cs="Times New Roman"/>
          <w:color w:val="000000"/>
          <w:kern w:val="0"/>
          <w:sz w:val="24"/>
          <w:szCs w:val="24"/>
          <w:lang w:eastAsia="es-CO"/>
          <w14:ligatures w14:val="none"/>
        </w:rPr>
        <w:t>tope ,</w:t>
      </w:r>
      <w:proofErr w:type="gramEnd"/>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de gestión de colas LIFO o algoritmo LIFO se basa en el formato que indica que la última solicitud en entrar debe ser la primera que se atienda y salga. Esto es porque se asume 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tabla hash o mapa hash es una estructura de datos que asocia llaves o claves con valores. La operación principal que soporta de manera eficiente es la búsqueda: permite el </w:t>
      </w:r>
      <w:r w:rsidRPr="00430D10">
        <w:rPr>
          <w:rFonts w:ascii="Times New Roman" w:eastAsia="Times New Roman" w:hAnsi="Times New Roman" w:cs="Times New Roman"/>
          <w:color w:val="000000"/>
          <w:kern w:val="0"/>
          <w:sz w:val="24"/>
          <w:szCs w:val="24"/>
          <w:lang w:eastAsia="es-CO"/>
          <w14:ligatures w14:val="none"/>
        </w:rPr>
        <w:lastRenderedPageBreak/>
        <w:t>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10BFC276" w14:textId="56DE4CBE"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250D62E9"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28B874D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04643740"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BEC06B2"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DBCA36D"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7EDAC54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6076D47D"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4EC7E102"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2FDBC95B"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2CB3EE3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77777777" w:rsidR="003A3A46" w:rsidRDefault="003A3A46">
      <w:pPr>
        <w:rPr>
          <w:rFonts w:ascii="Times New Roman" w:eastAsia="Times New Roman" w:hAnsi="Times New Roman" w:cs="Times New Roman"/>
          <w:color w:val="000000"/>
          <w:kern w:val="0"/>
          <w:sz w:val="24"/>
          <w:szCs w:val="24"/>
          <w:lang w:eastAsia="es-CO"/>
          <w14:ligatures w14:val="none"/>
        </w:rPr>
      </w:pPr>
    </w:p>
    <w:sdt>
      <w:sdtPr>
        <w:rPr>
          <w:lang w:val="es-ES"/>
        </w:rPr>
        <w:id w:val="-2117672404"/>
        <w:docPartObj>
          <w:docPartGallery w:val="Bibliographies"/>
          <w:docPartUnique/>
        </w:docPartObj>
      </w:sdtPr>
      <w:sdtEndPr>
        <w:rPr>
          <w:rFonts w:asciiTheme="minorHAnsi" w:eastAsiaTheme="minorHAnsi" w:hAnsiTheme="minorHAnsi" w:cstheme="minorBidi"/>
          <w:color w:val="auto"/>
          <w:kern w:val="2"/>
          <w:sz w:val="22"/>
          <w:szCs w:val="22"/>
          <w:lang w:val="es-CO" w:eastAsia="en-US"/>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3A3A46"/>
    <w:rsid w:val="00430D10"/>
    <w:rsid w:val="00542775"/>
    <w:rsid w:val="0094427D"/>
    <w:rsid w:val="00B90580"/>
    <w:rsid w:val="00BD52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s>
</file>

<file path=customXml/itemProps1.xml><?xml version="1.0" encoding="utf-8"?>
<ds:datastoreItem xmlns:ds="http://schemas.openxmlformats.org/officeDocument/2006/customXml" ds:itemID="{2881F87A-425E-424E-86AB-C6080930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Angela Maria Gonzalez Cordoba</cp:lastModifiedBy>
  <cp:revision>1</cp:revision>
  <dcterms:created xsi:type="dcterms:W3CDTF">2023-09-21T16:43:00Z</dcterms:created>
  <dcterms:modified xsi:type="dcterms:W3CDTF">2023-09-21T17:13:00Z</dcterms:modified>
</cp:coreProperties>
</file>