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11" w:rsidRPr="00D34A11" w:rsidRDefault="00D34A11" w:rsidP="00D34A11">
      <w:pPr>
        <w:pStyle w:val="NoSpacing"/>
        <w:rPr>
          <w:sz w:val="20"/>
          <w:lang w:val="en-US"/>
        </w:rPr>
      </w:pPr>
      <w:bookmarkStart w:id="0" w:name="_GoBack"/>
      <w:r w:rsidRPr="00D34A11">
        <w:rPr>
          <w:sz w:val="20"/>
          <w:lang w:val="en-US"/>
        </w:rPr>
        <w:t>Hello Cloud Gurus and welcome to this lecture,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which is part two of my EC2 summary.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So let's begin with Route 53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remember, Route 53 is Amazon's DNS service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it allows you to map a domain name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to an EC2 instance,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 elastic load balancer or S3 bucket.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if you remember, we created a web server running httpd,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we added an application load balancer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then we configured our hosted zone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with a new alias and an A record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to map our domain name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to the DNS address of our application load balancer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this is one of the most common use cases for Route 53.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just be aware of the following Route 53 terminology.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So we used a hosted zone,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which is a container for DNS records for our domain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alias is what allows you to route traffic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addressed to the zone apex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or the top of the DNS namespace,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for example, ilovecloud.com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send it to a resource within AWS,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for example, an elastic load balancer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an A record allows you to route traffic to a resource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such as a web server, using an IPv4 address.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Moving on to the AWS CLI,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keep in mind the principle of least privilege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always give your users the minimum amount of access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required to do their job.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it's best practice to use groups,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so create identity access management groups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assign your users to groups.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Group permissions are assigned using IAM policy documents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your users will automatically inherit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the permissions of the group.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When it comes to generating the secret access key,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remember that you will only see this once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if you lose it,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then you can delete the access key ID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secret access key and regenerate them.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if you do that, you will need to run AWS configure again</w:t>
      </w:r>
    </w:p>
    <w:p w:rsidR="00D34A11" w:rsidRPr="00D34A11" w:rsidRDefault="00D34A11" w:rsidP="00D34A11">
      <w:pPr>
        <w:pStyle w:val="NoSpacing"/>
        <w:rPr>
          <w:sz w:val="20"/>
          <w:lang w:val="en-US"/>
        </w:rPr>
      </w:pPr>
      <w:r w:rsidRPr="00D34A11">
        <w:rPr>
          <w:sz w:val="20"/>
          <w:lang w:val="en-US"/>
        </w:rPr>
        <w:t>and provide the new credentials.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Don't share your key pairs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each developer should have their own access key ID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secret access key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just like passwords,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they should never be shared.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the AWS CLI supports Linux, Windows and MacOS,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you can install it on your local machine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you can also use it on EC2 instances as well.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of course, when we launch a Linux to EC2 instance,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you get the AWS CLI pre-installed.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Onto using roles with EC2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lastRenderedPageBreak/>
        <w:t>and we can use a role to give an EC2 instance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access to AWS resources like S3.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to do that, we need to create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 Identity access management role with S3 access.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Create an EC2 instance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attach the role that we just created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then we should be able to access S3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from our EC2 instance.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using roles in this way is the preferred option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from a security perspective.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it allows you to avoid hard coding your credentials,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roles allow you to provide access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without having to manage access keys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secret access keys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manually configure them on every single EC2 instance.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We use IAM policies to control a roles permissions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you can update a policy attached to a role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it will take immediate effect.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you can attach and detach roles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to running EC2 instances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without having to stop or terminate the instances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if you remember, we tried that with our own EC2 instance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the effect was immediate.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Onto RDS or Relational Database Service.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we've got a few different RDS database types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there's SQLServer, Oracle,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MySQL, PostgreSQL,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MariaDB and Amazon Aurora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RDS is for online transaction processing workloads.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this is great for processing lots of small transactions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like customer orders, banking transactions,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payments and booking systems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It is not suitable for online analytics processing.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instead, we should use RedShift for OLAP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data warehousing type tasks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like analyzing large amounts of data,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reporting and sales forecasting.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it's important to remember the differences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between automated backups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database snapshots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they are also known as manual snapshots.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with automated backups,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these are enabled by default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you define the backup window.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They provide point-in-time snapshots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plus transaction logs.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You can define a retention period of up to 35 days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they can be used to recover your database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to any point in time within the retention period.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Whereas database snapshots are user-initiated and ad-hoc.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They provide point-in-time snapshots only,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there's no retention period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they are stored indefinitely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lastRenderedPageBreak/>
        <w:t>until you delete them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they can be used to backup your database instance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to a known state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restore to that specific state at any time,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for example, you might run a database snapshot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before making a change to the database.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when it comes to encrypting your RDS database,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you will need to enable encryption at creation time.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you cannot enable it later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when you encrypt your RDS database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it includes all the underlying storage,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automated backups,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snapshots, logs and read replicas as well.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it's going to encrypt everything.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RDS integrates with KMS,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it uses the AWS Key Management Service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for AES-256 bit encryption.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if you have any existing RDS instance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which you need to encrypt,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of course you cannot add encryption later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but what you can do is take a snapshot of your database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then encrypt the snapshot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create a new RDS instance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from your encrypted snapshot.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Moving on to multi-AZ and read replica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it's important to understand the differences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between these two technologies.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with multi-AZ, you get an exact copy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of your production database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in another availability zone.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These are used for disaster recovery,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in the event of a failure,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RDS will automatically failover to the standby instance.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Whereas a read replica is a read-only copy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of your primary database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this can be in the same AZ,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cross-AZ or cross-region.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read replicas are used to increase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or scale read performance.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a read replica is great for read-heavy workloads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because it takes the load off your primary database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for read-only workloads,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for example, if you need to run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 business intelligence reporting jobs.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Another way to improve read performance for RDS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is to use ElastiCache.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if you remember, ElastiCache is an in-memory cache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designed to improve read performance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for read-heavy databases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there are two options available.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Firstly, we've got memcached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this is an in-memory, key-value data store.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this is the one to use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lastRenderedPageBreak/>
        <w:t>if object caching is your primary goal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you want to keep things as simple as possible,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you don't need persistence or multi-AZ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you don't need support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for advanced data types or data sorting.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Whereas with redis, that is also an in-memory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key-value data store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but this is the one to use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if you are performing data sorting and ranking,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such as in gaming leaderboards.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it's also a great choice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if you have advanced data types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such as lists and hashes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if you need data persistence and multi-AZ.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memcached is your basic option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whereas redis provides enterprise features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like persistence and multi-AZ.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finally, we have parameter store,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which is a service that allows you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to store confidential information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such as passwords, database connection strings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licensed codes, et cetera.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You can store your values as plain text or encrypt them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reference them using the parameter name,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for example, in a bootstrap script.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parameter store is integrated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with lots of different AWS services.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you can use it with EC2, CloudFormation, Lambda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it also supports CodeBuild, CodePipeline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and CodeDeploy.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So that's it for this lecture,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if you have any questions please let me know.</w:t>
      </w:r>
    </w:p>
    <w:p w:rsidR="00D34A11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Otherwise I will see you in the next lecture.</w:t>
      </w:r>
    </w:p>
    <w:p w:rsidR="000F3008" w:rsidRPr="00D34A11" w:rsidRDefault="00D34A11" w:rsidP="00D34A11">
      <w:pPr>
        <w:pStyle w:val="NoSpacing"/>
        <w:rPr>
          <w:sz w:val="20"/>
        </w:rPr>
      </w:pPr>
      <w:r w:rsidRPr="00D34A11">
        <w:rPr>
          <w:sz w:val="20"/>
        </w:rPr>
        <w:t>Thank you.</w:t>
      </w:r>
      <w:bookmarkEnd w:id="0"/>
    </w:p>
    <w:sectPr w:rsidR="000F3008" w:rsidRPr="00D3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A2"/>
    <w:rsid w:val="00101EDA"/>
    <w:rsid w:val="005E2BA2"/>
    <w:rsid w:val="0072009C"/>
    <w:rsid w:val="00924614"/>
    <w:rsid w:val="00AF6D20"/>
    <w:rsid w:val="00D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3B1C6-E0EB-4AD0-9A38-C8EBF19F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2023-06-16T00:51:00Z</dcterms:created>
  <dcterms:modified xsi:type="dcterms:W3CDTF">2023-06-16T00:52:00Z</dcterms:modified>
</cp:coreProperties>
</file>