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sz w:val="32"/>
        </w:rPr>
        <w:t>Interview Study Guide &amp; Cheat Sheet</w:t>
      </w:r>
    </w:p>
    <w:p>
      <w:r>
        <w:rPr>
          <w:rFonts w:ascii="Calibri" w:hAnsi="Calibri"/>
          <w:sz w:val="22"/>
        </w:rPr>
        <w:t>Purpose: A single internalized cheat sheet for interviews, followed by deeper study material. Each cheat sheet section links directly to its detailed explanation below.</w:t>
      </w:r>
    </w:p>
    <w:p>
      <w:pPr>
        <w:pStyle w:val="Heading1"/>
      </w:pPr>
      <w:r>
        <w:rPr>
          <w:rFonts w:ascii="Calibri" w:hAnsi="Calibri"/>
          <w:sz w:val="30"/>
        </w:rPr>
        <w:t>Cheat Sheet (Principles)</w:t>
      </w:r>
    </w:p>
    <w:p>
      <w:r>
        <w:rPr>
          <w:rFonts w:ascii="Calibri" w:hAnsi="Calibri"/>
          <w:sz w:val="22"/>
        </w:rPr>
        <w:t xml:space="preserve">• </w:t>
      </w:r>
      <w:hyperlink w:anchor="detail_About_Me_/_Philosophy" w:history="1">
        <w:r>
          <w:rPr/>
          <w:t>About Me / Philosophy</w:t>
        </w:r>
      </w:hyperlink>
    </w:p>
    <w:p>
      <w:r>
        <w:rPr>
          <w:rFonts w:ascii="Calibri" w:hAnsi="Calibri"/>
          <w:sz w:val="22"/>
        </w:rPr>
        <w:t xml:space="preserve">• </w:t>
      </w:r>
      <w:hyperlink w:anchor="detail_Interview_Conduct" w:history="1">
        <w:r>
          <w:rPr/>
          <w:t>Interview Conduct</w:t>
        </w:r>
      </w:hyperlink>
    </w:p>
    <w:p>
      <w:r>
        <w:rPr>
          <w:rFonts w:ascii="Calibri" w:hAnsi="Calibri"/>
          <w:sz w:val="22"/>
        </w:rPr>
        <w:t xml:space="preserve">• </w:t>
      </w:r>
      <w:hyperlink w:anchor="detail_Personal" w:history="1">
        <w:r>
          <w:rPr/>
          <w:t>Personal</w:t>
        </w:r>
      </w:hyperlink>
    </w:p>
    <w:p>
      <w:r>
        <w:rPr>
          <w:rFonts w:ascii="Calibri" w:hAnsi="Calibri"/>
          <w:sz w:val="22"/>
        </w:rPr>
        <w:t xml:space="preserve">• </w:t>
      </w:r>
      <w:hyperlink w:anchor="detail_Leadership" w:history="1">
        <w:r>
          <w:rPr/>
          <w:t>Leadership</w:t>
        </w:r>
      </w:hyperlink>
    </w:p>
    <w:p>
      <w:r>
        <w:rPr>
          <w:rFonts w:ascii="Calibri" w:hAnsi="Calibri"/>
          <w:sz w:val="22"/>
        </w:rPr>
        <w:t xml:space="preserve">• </w:t>
      </w:r>
      <w:hyperlink w:anchor="detail_Database" w:history="1">
        <w:r>
          <w:rPr/>
          <w:t>Database</w:t>
        </w:r>
      </w:hyperlink>
    </w:p>
    <w:p>
      <w:r>
        <w:rPr>
          <w:rFonts w:ascii="Calibri" w:hAnsi="Calibri"/>
          <w:sz w:val="22"/>
        </w:rPr>
        <w:t xml:space="preserve">• </w:t>
      </w:r>
      <w:hyperlink w:anchor="detail_NET" w:history="1">
        <w:r>
          <w:rPr/>
          <w:t>.NET</w:t>
        </w:r>
      </w:hyperlink>
    </w:p>
    <w:p>
      <w:r>
        <w:rPr>
          <w:rFonts w:ascii="Calibri" w:hAnsi="Calibri"/>
          <w:sz w:val="22"/>
        </w:rPr>
        <w:t xml:space="preserve">• </w:t>
      </w:r>
      <w:hyperlink w:anchor="detail_ASPNET" w:history="1">
        <w:r>
          <w:rPr/>
          <w:t>ASP.NET</w:t>
        </w:r>
      </w:hyperlink>
    </w:p>
    <w:p>
      <w:r>
        <w:rPr>
          <w:rFonts w:ascii="Calibri" w:hAnsi="Calibri"/>
          <w:sz w:val="22"/>
        </w:rPr>
        <w:t>• Be clear, not complete — senior answers stop earlier than feels comfortable.</w:t>
      </w:r>
    </w:p>
    <w:p>
      <w:r>
        <w:rPr>
          <w:rFonts w:ascii="Calibri" w:hAnsi="Calibri"/>
          <w:sz w:val="22"/>
        </w:rPr>
        <w:t>• Optimize for maintainable systems that fail in obvious, diagnosable ways.</w:t>
      </w:r>
    </w:p>
    <w:p>
      <w:r>
        <w:rPr>
          <w:rFonts w:ascii="Calibri" w:hAnsi="Calibri"/>
          <w:sz w:val="22"/>
        </w:rPr>
        <w:t>• Hold strong principles lightly; adapt to evidence and team context.</w:t>
      </w:r>
    </w:p>
    <w:p>
      <w:pPr>
        <w:pStyle w:val="Heading1"/>
      </w:pPr>
      <w:r>
        <w:rPr>
          <w:rFonts w:ascii="Calibri" w:hAnsi="Calibri"/>
          <w:sz w:val="30"/>
        </w:rPr>
        <w:t>Study Guide (Expanded Understanding)</w:t>
      </w:r>
    </w:p>
    <w:p>
      <w:bookmarkStart w:id="1" w:name="detail_About_Me_/_Philosophy"/>
      <w:pPr>
        <w:pStyle w:val="Heading2"/>
      </w:pPr>
      <w:r>
        <w:rPr>
          <w:rFonts w:ascii="Calibri" w:hAnsi="Calibri"/>
          <w:sz w:val="28"/>
        </w:rPr>
        <w:t>About Me / Philosophy</w:t>
      </w:r>
      <w:bookmarkEnd w:id="1"/>
    </w:p>
    <w:p>
      <w:r>
        <w:rPr>
          <w:rFonts w:ascii="Calibri" w:hAnsi="Calibri"/>
          <w:sz w:val="22"/>
        </w:rPr>
        <w:t>Senior framing: This section explains how these principles guide decisions, tradeoffs, and communication in real systems and real teams.</w:t>
      </w:r>
    </w:p>
    <w:p>
      <w:r>
        <w:rPr>
          <w:rFonts w:ascii="Calibri" w:hAnsi="Calibri"/>
          <w:sz w:val="22"/>
        </w:rPr>
        <w:t>• Why this matters in interviews</w:t>
      </w:r>
    </w:p>
    <w:p>
      <w:r>
        <w:rPr>
          <w:rFonts w:ascii="Calibri" w:hAnsi="Calibri"/>
          <w:sz w:val="22"/>
        </w:rPr>
        <w:t>• Common pitfalls or misunderstandings</w:t>
      </w:r>
    </w:p>
    <w:p>
      <w:r>
        <w:rPr>
          <w:rFonts w:ascii="Calibri" w:hAnsi="Calibri"/>
          <w:sz w:val="22"/>
        </w:rPr>
        <w:t>• How to explain this under pressure</w:t>
      </w:r>
    </w:p>
    <w:p>
      <w:r>
        <w:rPr>
          <w:rFonts w:ascii="Calibri" w:hAnsi="Calibri"/>
          <w:sz w:val="22"/>
        </w:rPr>
        <w:t>• Signals interviewers are listening for</w:t>
      </w:r>
    </w:p>
    <w:p>
      <w:bookmarkStart w:id="2" w:name="detail_Interview_Conduct"/>
      <w:pPr>
        <w:pStyle w:val="Heading2"/>
      </w:pPr>
      <w:r>
        <w:rPr>
          <w:rFonts w:ascii="Calibri" w:hAnsi="Calibri"/>
          <w:sz w:val="28"/>
        </w:rPr>
        <w:t>Interview Conduct</w:t>
      </w:r>
      <w:bookmarkEnd w:id="2"/>
    </w:p>
    <w:p>
      <w:r>
        <w:rPr>
          <w:rFonts w:ascii="Calibri" w:hAnsi="Calibri"/>
          <w:sz w:val="22"/>
        </w:rPr>
        <w:t>Senior framing: This section explains how these principles guide decisions, tradeoffs, and communication in real systems and real teams.</w:t>
      </w:r>
    </w:p>
    <w:p>
      <w:r>
        <w:rPr>
          <w:rFonts w:ascii="Calibri" w:hAnsi="Calibri"/>
          <w:sz w:val="22"/>
        </w:rPr>
        <w:t>• Why this matters in interviews</w:t>
      </w:r>
    </w:p>
    <w:p>
      <w:r>
        <w:rPr>
          <w:rFonts w:ascii="Calibri" w:hAnsi="Calibri"/>
          <w:sz w:val="22"/>
        </w:rPr>
        <w:t>• Common pitfalls or misunderstandings</w:t>
      </w:r>
    </w:p>
    <w:p>
      <w:r>
        <w:rPr>
          <w:rFonts w:ascii="Calibri" w:hAnsi="Calibri"/>
          <w:sz w:val="22"/>
        </w:rPr>
        <w:t>• How to explain this under pressure</w:t>
      </w:r>
    </w:p>
    <w:p>
      <w:r>
        <w:rPr>
          <w:rFonts w:ascii="Calibri" w:hAnsi="Calibri"/>
          <w:sz w:val="22"/>
        </w:rPr>
        <w:t>• Signals interviewers are listening for</w:t>
      </w:r>
    </w:p>
    <w:p>
      <w:bookmarkStart w:id="3" w:name="detail_Personal"/>
      <w:pPr>
        <w:pStyle w:val="Heading2"/>
      </w:pPr>
      <w:r>
        <w:rPr>
          <w:rFonts w:ascii="Calibri" w:hAnsi="Calibri"/>
          <w:sz w:val="28"/>
        </w:rPr>
        <w:t>Personal</w:t>
      </w:r>
      <w:bookmarkEnd w:id="3"/>
    </w:p>
    <w:p>
      <w:r>
        <w:rPr>
          <w:rFonts w:ascii="Calibri" w:hAnsi="Calibri"/>
          <w:sz w:val="22"/>
        </w:rPr>
        <w:t>Senior framing: This section explains how these principles guide decisions, tradeoffs, and communication in real systems and real teams.</w:t>
      </w:r>
    </w:p>
    <w:p>
      <w:r>
        <w:rPr>
          <w:rFonts w:ascii="Calibri" w:hAnsi="Calibri"/>
          <w:sz w:val="22"/>
        </w:rPr>
        <w:t>• Why this matters in interviews</w:t>
      </w:r>
    </w:p>
    <w:p>
      <w:r>
        <w:rPr>
          <w:rFonts w:ascii="Calibri" w:hAnsi="Calibri"/>
          <w:sz w:val="22"/>
        </w:rPr>
        <w:t>• Common pitfalls or misunderstandings</w:t>
      </w:r>
    </w:p>
    <w:p>
      <w:r>
        <w:rPr>
          <w:rFonts w:ascii="Calibri" w:hAnsi="Calibri"/>
          <w:sz w:val="22"/>
        </w:rPr>
        <w:t>• How to explain this under pressure</w:t>
      </w:r>
    </w:p>
    <w:p>
      <w:r>
        <w:rPr>
          <w:rFonts w:ascii="Calibri" w:hAnsi="Calibri"/>
          <w:sz w:val="22"/>
        </w:rPr>
        <w:t>• Signals interviewers are listening for</w:t>
      </w:r>
    </w:p>
    <w:p>
      <w:bookmarkStart w:id="4" w:name="detail_Leadership"/>
      <w:pPr>
        <w:pStyle w:val="Heading2"/>
      </w:pPr>
      <w:r>
        <w:rPr>
          <w:rFonts w:ascii="Calibri" w:hAnsi="Calibri"/>
          <w:sz w:val="28"/>
        </w:rPr>
        <w:t>Leadership</w:t>
      </w:r>
      <w:bookmarkEnd w:id="4"/>
    </w:p>
    <w:p>
      <w:r>
        <w:rPr>
          <w:rFonts w:ascii="Calibri" w:hAnsi="Calibri"/>
          <w:sz w:val="22"/>
        </w:rPr>
        <w:t>Senior framing: This section explains how these principles guide decisions, tradeoffs, and communication in real systems and real teams.</w:t>
      </w:r>
    </w:p>
    <w:p>
      <w:r>
        <w:rPr>
          <w:rFonts w:ascii="Calibri" w:hAnsi="Calibri"/>
          <w:sz w:val="22"/>
        </w:rPr>
        <w:t>• Why this matters in interviews</w:t>
      </w:r>
    </w:p>
    <w:p>
      <w:r>
        <w:rPr>
          <w:rFonts w:ascii="Calibri" w:hAnsi="Calibri"/>
          <w:sz w:val="22"/>
        </w:rPr>
        <w:t>• Common pitfalls or misunderstandings</w:t>
      </w:r>
    </w:p>
    <w:p>
      <w:r>
        <w:rPr>
          <w:rFonts w:ascii="Calibri" w:hAnsi="Calibri"/>
          <w:sz w:val="22"/>
        </w:rPr>
        <w:t>• How to explain this under pressure</w:t>
      </w:r>
    </w:p>
    <w:p>
      <w:r>
        <w:rPr>
          <w:rFonts w:ascii="Calibri" w:hAnsi="Calibri"/>
          <w:sz w:val="22"/>
        </w:rPr>
        <w:t>• Signals interviewers are listening for</w:t>
      </w:r>
    </w:p>
    <w:p>
      <w:bookmarkStart w:id="5" w:name="detail_Database"/>
      <w:pPr>
        <w:pStyle w:val="Heading2"/>
      </w:pPr>
      <w:r>
        <w:rPr>
          <w:rFonts w:ascii="Calibri" w:hAnsi="Calibri"/>
          <w:sz w:val="28"/>
        </w:rPr>
        <w:t>Database</w:t>
      </w:r>
      <w:bookmarkEnd w:id="5"/>
    </w:p>
    <w:p>
      <w:r>
        <w:rPr>
          <w:rFonts w:ascii="Calibri" w:hAnsi="Calibri"/>
          <w:sz w:val="22"/>
        </w:rPr>
        <w:t>Senior framing: This section explains how these principles guide decisions, tradeoffs, and communication in real systems and real teams.</w:t>
      </w:r>
    </w:p>
    <w:p>
      <w:r>
        <w:rPr>
          <w:rFonts w:ascii="Calibri" w:hAnsi="Calibri"/>
          <w:sz w:val="22"/>
        </w:rPr>
        <w:t>• Why this matters in interviews</w:t>
      </w:r>
    </w:p>
    <w:p>
      <w:r>
        <w:rPr>
          <w:rFonts w:ascii="Calibri" w:hAnsi="Calibri"/>
          <w:sz w:val="22"/>
        </w:rPr>
        <w:t>• Common pitfalls or misunderstandings</w:t>
      </w:r>
    </w:p>
    <w:p>
      <w:r>
        <w:rPr>
          <w:rFonts w:ascii="Calibri" w:hAnsi="Calibri"/>
          <w:sz w:val="22"/>
        </w:rPr>
        <w:t>• How to explain this under pressure</w:t>
      </w:r>
    </w:p>
    <w:p>
      <w:r>
        <w:rPr>
          <w:rFonts w:ascii="Calibri" w:hAnsi="Calibri"/>
          <w:sz w:val="22"/>
        </w:rPr>
        <w:t>• Signals interviewers are listening for</w:t>
      </w:r>
    </w:p>
    <w:p>
      <w:bookmarkStart w:id="6" w:name="detail_NET"/>
      <w:pPr>
        <w:pStyle w:val="Heading2"/>
      </w:pPr>
      <w:r>
        <w:rPr>
          <w:rFonts w:ascii="Calibri" w:hAnsi="Calibri"/>
          <w:sz w:val="28"/>
        </w:rPr>
        <w:t>.NET</w:t>
      </w:r>
      <w:bookmarkEnd w:id="6"/>
    </w:p>
    <w:p>
      <w:r>
        <w:rPr>
          <w:rFonts w:ascii="Calibri" w:hAnsi="Calibri"/>
          <w:sz w:val="22"/>
        </w:rPr>
        <w:t>Senior framing: This section explains how these principles guide decisions, tradeoffs, and communication in real systems and real teams.</w:t>
      </w:r>
    </w:p>
    <w:p>
      <w:r>
        <w:rPr>
          <w:rFonts w:ascii="Calibri" w:hAnsi="Calibri"/>
          <w:sz w:val="22"/>
        </w:rPr>
        <w:t>• Why this matters in interviews</w:t>
      </w:r>
    </w:p>
    <w:p>
      <w:r>
        <w:rPr>
          <w:rFonts w:ascii="Calibri" w:hAnsi="Calibri"/>
          <w:sz w:val="22"/>
        </w:rPr>
        <w:t>• Common pitfalls or misunderstandings</w:t>
      </w:r>
    </w:p>
    <w:p>
      <w:r>
        <w:rPr>
          <w:rFonts w:ascii="Calibri" w:hAnsi="Calibri"/>
          <w:sz w:val="22"/>
        </w:rPr>
        <w:t>• How to explain this under pressure</w:t>
      </w:r>
    </w:p>
    <w:p>
      <w:r>
        <w:rPr>
          <w:rFonts w:ascii="Calibri" w:hAnsi="Calibri"/>
          <w:sz w:val="22"/>
        </w:rPr>
        <w:t>• Signals interviewers are listening for</w:t>
      </w:r>
    </w:p>
    <w:p>
      <w:bookmarkStart w:id="7" w:name="detail_ASPNET"/>
      <w:pPr>
        <w:pStyle w:val="Heading2"/>
      </w:pPr>
      <w:r>
        <w:rPr>
          <w:rFonts w:ascii="Calibri" w:hAnsi="Calibri"/>
          <w:sz w:val="28"/>
        </w:rPr>
        <w:t>ASP.NET</w:t>
      </w:r>
      <w:bookmarkEnd w:id="7"/>
    </w:p>
    <w:p>
      <w:r>
        <w:rPr>
          <w:rFonts w:ascii="Calibri" w:hAnsi="Calibri"/>
          <w:sz w:val="22"/>
        </w:rPr>
        <w:t>Senior framing: This section explains how these principles guide decisions, tradeoffs, and communication in real systems and real teams.</w:t>
      </w:r>
    </w:p>
    <w:p>
      <w:r>
        <w:rPr>
          <w:rFonts w:ascii="Calibri" w:hAnsi="Calibri"/>
          <w:sz w:val="22"/>
        </w:rPr>
        <w:t>• Why this matters in interviews</w:t>
      </w:r>
    </w:p>
    <w:p>
      <w:r>
        <w:rPr>
          <w:rFonts w:ascii="Calibri" w:hAnsi="Calibri"/>
          <w:sz w:val="22"/>
        </w:rPr>
        <w:t>• Common pitfalls or misunderstandings</w:t>
      </w:r>
    </w:p>
    <w:p>
      <w:r>
        <w:rPr>
          <w:rFonts w:ascii="Calibri" w:hAnsi="Calibri"/>
          <w:sz w:val="22"/>
        </w:rPr>
        <w:t>• How to explain this under pressure</w:t>
      </w:r>
    </w:p>
    <w:p>
      <w:r>
        <w:rPr>
          <w:rFonts w:ascii="Calibri" w:hAnsi="Calibri"/>
          <w:sz w:val="22"/>
        </w:rPr>
        <w:t>• Signals interviewers are listening for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