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ubik" w:cs="Rubik" w:eastAsia="Rubik" w:hAnsi="Rubik"/>
          <w:sz w:val="28"/>
          <w:szCs w:val="28"/>
        </w:rPr>
      </w:pPr>
      <w:r w:rsidDel="00000000" w:rsidR="00000000" w:rsidRPr="00000000">
        <w:rPr>
          <w:rFonts w:ascii="Rubik" w:cs="Rubik" w:eastAsia="Rubik" w:hAnsi="Rubik"/>
          <w:sz w:val="28"/>
          <w:szCs w:val="28"/>
          <w:rtl w:val="0"/>
        </w:rPr>
        <w:t xml:space="preserve">This projects aims to predict video game addiction form gaming habits using the Gaming and Mental Health Dataset. The dataset contains about 2000 samples (1600 train and 400 tests) with 13 features. Two tasks are considered: regression task to predict an addiction score from 0 to 10 and classification task to predict the addiction level, (classified as Low/Medium/High)</w:t>
      </w:r>
    </w:p>
    <w:p w:rsidR="00000000" w:rsidDel="00000000" w:rsidP="00000000" w:rsidRDefault="00000000" w:rsidRPr="00000000" w14:paraId="00000002">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3">
      <w:pPr>
        <w:rPr>
          <w:rFonts w:ascii="Rubik" w:cs="Rubik" w:eastAsia="Rubik" w:hAnsi="Rubik"/>
          <w:sz w:val="28"/>
          <w:szCs w:val="28"/>
        </w:rPr>
      </w:pPr>
      <w:r w:rsidDel="00000000" w:rsidR="00000000" w:rsidRPr="00000000">
        <w:rPr>
          <w:rFonts w:ascii="Rubik" w:cs="Rubik" w:eastAsia="Rubik" w:hAnsi="Rubik"/>
          <w:sz w:val="28"/>
          <w:szCs w:val="28"/>
          <w:rtl w:val="0"/>
        </w:rPr>
        <w:t xml:space="preserve">For the methods, we implemented the following:</w:t>
      </w:r>
    </w:p>
    <w:p w:rsidR="00000000" w:rsidDel="00000000" w:rsidP="00000000" w:rsidRDefault="00000000" w:rsidRPr="00000000" w14:paraId="00000004">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5">
      <w:pPr>
        <w:rPr>
          <w:rFonts w:ascii="Rubik" w:cs="Rubik" w:eastAsia="Rubik" w:hAnsi="Rubik"/>
          <w:sz w:val="28"/>
          <w:szCs w:val="28"/>
        </w:rPr>
      </w:pPr>
      <w:r w:rsidDel="00000000" w:rsidR="00000000" w:rsidRPr="00000000">
        <w:rPr>
          <w:rFonts w:ascii="Rubik" w:cs="Rubik" w:eastAsia="Rubik" w:hAnsi="Rubik"/>
          <w:sz w:val="28"/>
          <w:szCs w:val="28"/>
          <w:rtl w:val="0"/>
        </w:rPr>
        <w:t xml:space="preserve">Linear regression - We implement the closed form solution using the normal equations: w* = ((XtX)^-1)*Xty. A bias term is added by concatenating a column of ones to the feature matrix.</w:t>
      </w:r>
    </w:p>
    <w:p w:rsidR="00000000" w:rsidDel="00000000" w:rsidP="00000000" w:rsidRDefault="00000000" w:rsidRPr="00000000" w14:paraId="00000006">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7">
      <w:pPr>
        <w:rPr>
          <w:rFonts w:ascii="Rubik" w:cs="Rubik" w:eastAsia="Rubik" w:hAnsi="Rubik"/>
          <w:sz w:val="28"/>
          <w:szCs w:val="28"/>
        </w:rPr>
      </w:pPr>
      <w:r w:rsidDel="00000000" w:rsidR="00000000" w:rsidRPr="00000000">
        <w:rPr>
          <w:rFonts w:ascii="Rubik" w:cs="Rubik" w:eastAsia="Rubik" w:hAnsi="Rubik"/>
          <w:sz w:val="28"/>
          <w:szCs w:val="28"/>
          <w:rtl w:val="0"/>
        </w:rPr>
        <w:t xml:space="preserve">Logistic Regression - We implement logistic regression with softmax and gradient descent on the cross-entropy loss. The gradient is Xt(P-Y)/N. A numerical stability trick is used on the logits to prevent overflow during train</w:t>
      </w:r>
    </w:p>
    <w:p w:rsidR="00000000" w:rsidDel="00000000" w:rsidP="00000000" w:rsidRDefault="00000000" w:rsidRPr="00000000" w14:paraId="00000008">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9">
      <w:pPr>
        <w:rPr>
          <w:rFonts w:ascii="Rubik" w:cs="Rubik" w:eastAsia="Rubik" w:hAnsi="Rubik"/>
          <w:sz w:val="28"/>
          <w:szCs w:val="28"/>
        </w:rPr>
      </w:pPr>
      <w:r w:rsidDel="00000000" w:rsidR="00000000" w:rsidRPr="00000000">
        <w:rPr>
          <w:rFonts w:ascii="Rubik" w:cs="Rubik" w:eastAsia="Rubik" w:hAnsi="Rubik"/>
          <w:sz w:val="28"/>
          <w:szCs w:val="28"/>
          <w:rtl w:val="0"/>
        </w:rPr>
        <w:t xml:space="preserve">KNN -</w:t>
      </w:r>
    </w:p>
    <w:p w:rsidR="00000000" w:rsidDel="00000000" w:rsidP="00000000" w:rsidRDefault="00000000" w:rsidRPr="00000000" w14:paraId="0000000A">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B">
      <w:pPr>
        <w:rPr>
          <w:rFonts w:ascii="Rubik" w:cs="Rubik" w:eastAsia="Rubik" w:hAnsi="Rubik"/>
          <w:sz w:val="28"/>
          <w:szCs w:val="28"/>
        </w:rPr>
      </w:pPr>
      <w:r w:rsidDel="00000000" w:rsidR="00000000" w:rsidRPr="00000000">
        <w:rPr>
          <w:rFonts w:ascii="Rubik" w:cs="Rubik" w:eastAsia="Rubik" w:hAnsi="Rubik"/>
          <w:sz w:val="28"/>
          <w:szCs w:val="28"/>
          <w:rtl w:val="0"/>
        </w:rPr>
        <w:t xml:space="preserve">Features are then normalized using the mean and square-root of the variance computed on the training set only, then applied to the test set to avoid data leakage. In validation mode, 20% of the training data is held out as a variation set.</w:t>
      </w:r>
    </w:p>
    <w:p w:rsidR="00000000" w:rsidDel="00000000" w:rsidP="00000000" w:rsidRDefault="00000000" w:rsidRPr="00000000" w14:paraId="0000000C">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D">
      <w:pPr>
        <w:rPr>
          <w:rFonts w:ascii="Rubik" w:cs="Rubik" w:eastAsia="Rubik" w:hAnsi="Rubik"/>
          <w:sz w:val="28"/>
          <w:szCs w:val="28"/>
        </w:rPr>
      </w:pPr>
      <w:r w:rsidDel="00000000" w:rsidR="00000000" w:rsidRPr="00000000">
        <w:rPr>
          <w:rFonts w:ascii="Rubik" w:cs="Rubik" w:eastAsia="Rubik" w:hAnsi="Rubik"/>
          <w:sz w:val="28"/>
          <w:szCs w:val="28"/>
          <w:rtl w:val="0"/>
        </w:rPr>
        <w:t xml:space="preserve">For the results, we made a small table</w:t>
      </w:r>
    </w:p>
    <w:p w:rsidR="00000000" w:rsidDel="00000000" w:rsidP="00000000" w:rsidRDefault="00000000" w:rsidRPr="00000000" w14:paraId="0000000E">
      <w:pPr>
        <w:rPr>
          <w:rFonts w:ascii="Rubik" w:cs="Rubik" w:eastAsia="Rubik" w:hAnsi="Rubik"/>
          <w:sz w:val="28"/>
          <w:szCs w:val="28"/>
        </w:rPr>
      </w:pPr>
      <w:r w:rsidDel="00000000" w:rsidR="00000000" w:rsidRPr="00000000">
        <w:rPr>
          <w:rtl w:val="0"/>
        </w:rPr>
      </w:r>
    </w:p>
    <w:p w:rsidR="00000000" w:rsidDel="00000000" w:rsidP="00000000" w:rsidRDefault="00000000" w:rsidRPr="00000000" w14:paraId="0000000F">
      <w:pPr>
        <w:rPr>
          <w:rFonts w:ascii="Rubik" w:cs="Rubik" w:eastAsia="Rubik" w:hAnsi="Rubik"/>
          <w:sz w:val="28"/>
          <w:szCs w:val="28"/>
        </w:rPr>
      </w:pPr>
      <w:r w:rsidDel="00000000" w:rsidR="00000000" w:rsidRPr="00000000">
        <w:rPr>
          <w:rFonts w:ascii="Rubik" w:cs="Rubik" w:eastAsia="Rubik" w:hAnsi="Rubik"/>
          <w:sz w:val="28"/>
          <w:szCs w:val="28"/>
          <w:rtl w:val="0"/>
        </w:rPr>
        <w:t xml:space="preserve">In conclusion, linear regression achieves a test MSE of 1.075, close to the expected baseline (~1.1). Logistic regression reaches about 79% accuracy, a bit below the baseline of 80% which could be improved with more iteration or a finer learning rate. In terms of runtime, linear regression is near-instantaneous (since it is in closed form solution), while logistic scales with the number of iterations.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