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</w:t>
      </w:r>
    </w:p>
    <w:p>
      <w:pPr>
        <w:jc w:val="center"/>
      </w:pPr>
      <w:r>
        <w:rPr>
          <w:i/>
          <w:sz w:val="20"/>
        </w:rPr>
        <w:t>Generated on: 2026-02-02</w:t>
      </w:r>
    </w:p>
    <w:p/>
    <w:p>
      <w:pPr>
        <w:pStyle w:val="Heading1"/>
      </w:pPr>
      <w:r>
        <w:t>Executive Summary</w:t>
      </w:r>
    </w:p>
    <w:p>
      <w:r>
        <w:t>This report provides an overview of the project performance for Q4 2025. The project has exceeded expectations in all key metrics.</w:t>
      </w:r>
    </w:p>
    <w:p>
      <w:pPr>
        <w:pStyle w:val="Heading1"/>
      </w:pPr>
      <w:r>
        <w:t>Key Findings</w:t>
      </w:r>
    </w:p>
    <w:p>
      <w:pPr>
        <w:pStyle w:val="ListBullet"/>
        <w:ind w:left="360"/>
      </w:pPr>
      <w:r>
        <w:t>Revenue increased by 25% compared to the previous quarter</w:t>
      </w:r>
    </w:p>
    <w:p>
      <w:pPr>
        <w:pStyle w:val="ListBullet"/>
        <w:ind w:left="360"/>
      </w:pPr>
      <w:r>
        <w:t>Customer satisfaction score reached 95%</w:t>
      </w:r>
    </w:p>
    <w:p>
      <w:pPr>
        <w:pStyle w:val="ListBullet"/>
        <w:ind w:left="360"/>
      </w:pPr>
      <w:r>
        <w:t>Operational costs reduced by 15%</w:t>
      </w:r>
    </w:p>
    <w:p>
      <w:pPr>
        <w:pStyle w:val="ListBullet"/>
        <w:ind w:left="360"/>
      </w:pPr>
      <w:r>
        <w:t>New product line launched successfully</w:t>
      </w:r>
    </w:p>
    <w:p>
      <w:pPr>
        <w:pStyle w:val="Heading1"/>
      </w:pPr>
      <w:r>
        <w:t>Financial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$1,250,000</w:t>
            </w:r>
          </w:p>
        </w:tc>
        <w:tc>
          <w:tcPr>
            <w:tcW w:type="dxa" w:w="2880"/>
          </w:tcPr>
          <w:p>
            <w:r>
              <w:t>+25%</w:t>
            </w:r>
          </w:p>
        </w:tc>
      </w:tr>
      <w:tr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$750,000</w:t>
            </w:r>
          </w:p>
        </w:tc>
        <w:tc>
          <w:tcPr>
            <w:tcW w:type="dxa" w:w="2880"/>
          </w:tcPr>
          <w:p>
            <w:r>
              <w:t>-15%</w:t>
            </w:r>
          </w:p>
        </w:tc>
      </w:tr>
      <w:tr>
        <w:tc>
          <w:tcPr>
            <w:tcW w:type="dxa" w:w="2880"/>
          </w:tcPr>
          <w:p>
            <w:r>
              <w:t>Profit</w:t>
            </w:r>
          </w:p>
        </w:tc>
        <w:tc>
          <w:tcPr>
            <w:tcW w:type="dxa" w:w="2880"/>
          </w:tcPr>
          <w:p>
            <w:r>
              <w:t>$500,000</w:t>
            </w:r>
          </w:p>
        </w:tc>
        <w:tc>
          <w:tcPr>
            <w:tcW w:type="dxa" w:w="2880"/>
          </w:tcPr>
          <w:p>
            <w:r>
              <w:t>+45%</w:t>
            </w:r>
          </w:p>
        </w:tc>
      </w:tr>
      <w:tr>
        <w:tc>
          <w:tcPr>
            <w:tcW w:type="dxa" w:w="2880"/>
          </w:tcPr>
          <w:p>
            <w:r>
              <w:t>Investment</w:t>
            </w:r>
          </w:p>
        </w:tc>
        <w:tc>
          <w:tcPr>
            <w:tcW w:type="dxa" w:w="2880"/>
          </w:tcPr>
          <w:p>
            <w:r>
              <w:t>$200,000</w:t>
            </w:r>
          </w:p>
        </w:tc>
        <w:tc>
          <w:tcPr>
            <w:tcW w:type="dxa" w:w="2880"/>
          </w:tcPr>
          <w:p>
            <w:r>
              <w:t>+10%</w:t>
            </w:r>
          </w:p>
        </w:tc>
      </w:tr>
    </w:tbl>
    <w:p/>
    <w:p>
      <w:pPr>
        <w:pStyle w:val="Heading1"/>
      </w:pPr>
      <w:r>
        <w:t>Conclusion</w:t>
      </w:r>
    </w:p>
    <w:p>
      <w:r>
        <w:t>The project has demonstrated strong performance across all areas. We recommend continuing the current strategy and expanding into new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