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D1E9E" w:rsidP="000B545B" w:rsidRDefault="44BB5D31" w14:paraId="5D074433" w14:textId="7AD98EA1">
      <w:pPr>
        <w:pStyle w:val="Heading1"/>
      </w:pPr>
      <w:r>
        <w:t xml:space="preserve">Hardware </w:t>
      </w:r>
      <w:r w:rsidR="00830394">
        <w:t xml:space="preserve">strategy </w:t>
      </w:r>
    </w:p>
    <w:p w:rsidR="00AD1E9E" w:rsidP="00AD1E9E" w:rsidRDefault="009A34E4" w14:paraId="240E84F2" w14:textId="43E51FC0">
      <w:r>
        <w:t xml:space="preserve">From the </w:t>
      </w:r>
      <w:r w:rsidR="008B3609">
        <w:t>challenge</w:t>
      </w:r>
      <w:r>
        <w:t xml:space="preserve"> brief, the final </w:t>
      </w:r>
      <w:r w:rsidR="00DD1F49">
        <w:t>D</w:t>
      </w:r>
      <w:r w:rsidR="00E634A7">
        <w:t>erbot design needs to be able to:</w:t>
      </w:r>
    </w:p>
    <w:p w:rsidR="00E634A7" w:rsidP="00E93C3C" w:rsidRDefault="00E93C3C" w14:paraId="378CFFBF" w14:textId="198CA145">
      <w:pPr>
        <w:pStyle w:val="ListParagraph"/>
        <w:numPr>
          <w:ilvl w:val="0"/>
          <w:numId w:val="1"/>
        </w:numPr>
      </w:pPr>
      <w:r>
        <w:t>Follow a white line around the course</w:t>
      </w:r>
      <w:r w:rsidR="00B84575">
        <w:t xml:space="preserve"> and stop in the finish zone</w:t>
      </w:r>
    </w:p>
    <w:p w:rsidR="00E93C3C" w:rsidP="00E93C3C" w:rsidRDefault="00017AF2" w14:paraId="30DE7304" w14:textId="4C89B149">
      <w:pPr>
        <w:pStyle w:val="ListParagraph"/>
        <w:numPr>
          <w:ilvl w:val="0"/>
          <w:numId w:val="1"/>
        </w:numPr>
      </w:pPr>
      <w:r>
        <w:t>Be small enough to fit through a gate way at the start</w:t>
      </w:r>
    </w:p>
    <w:p w:rsidR="00017AF2" w:rsidP="00E93C3C" w:rsidRDefault="00017AF2" w14:paraId="5963266B" w14:textId="48153703">
      <w:pPr>
        <w:pStyle w:val="ListParagraph"/>
        <w:numPr>
          <w:ilvl w:val="0"/>
          <w:numId w:val="1"/>
        </w:numPr>
      </w:pPr>
      <w:r>
        <w:t xml:space="preserve">Detect if </w:t>
      </w:r>
      <w:r w:rsidR="00F35677">
        <w:t xml:space="preserve">the object </w:t>
      </w:r>
      <w:r w:rsidR="00DD1F49">
        <w:t>in front</w:t>
      </w:r>
      <w:r w:rsidR="00F35677">
        <w:t xml:space="preserve"> of it is lit or unlit</w:t>
      </w:r>
    </w:p>
    <w:p w:rsidR="00FE1E05" w:rsidP="00B84575" w:rsidRDefault="00F35677" w14:paraId="1DA5F248" w14:textId="53113D03">
      <w:pPr>
        <w:pStyle w:val="ListParagraph"/>
        <w:numPr>
          <w:ilvl w:val="0"/>
          <w:numId w:val="1"/>
        </w:numPr>
      </w:pPr>
      <w:r>
        <w:t>Move the object to the left if unlit and to the right if lit</w:t>
      </w:r>
    </w:p>
    <w:p w:rsidR="00FE1E05" w:rsidP="00E93C3C" w:rsidRDefault="00602345" w14:paraId="558148E5" w14:textId="2EEB3505">
      <w:pPr>
        <w:pStyle w:val="ListParagraph"/>
        <w:numPr>
          <w:ilvl w:val="0"/>
          <w:numId w:val="1"/>
        </w:numPr>
      </w:pPr>
      <w:r>
        <w:t xml:space="preserve">Display the number of lit and unlit </w:t>
      </w:r>
      <w:r w:rsidR="00BF38B6">
        <w:t xml:space="preserve">object there were around the course on a </w:t>
      </w:r>
      <w:r w:rsidR="008E3FE8">
        <w:t>seven-segment</w:t>
      </w:r>
      <w:r w:rsidR="00BF38B6">
        <w:t xml:space="preserve"> display once inside the finish zone</w:t>
      </w:r>
    </w:p>
    <w:p w:rsidR="00852334" w:rsidP="00852334" w:rsidRDefault="00852334" w14:paraId="41E9931E" w14:textId="3DB6B3CC">
      <w:r>
        <w:t>Figure 1 shows a diagram of the proposed Derbot</w:t>
      </w:r>
      <w:r w:rsidR="00BF38B6">
        <w:t xml:space="preserve"> design. T</w:t>
      </w:r>
      <w:r w:rsidR="009576BB">
        <w:t xml:space="preserve">his design should meet </w:t>
      </w:r>
      <w:r w:rsidR="002C2D24">
        <w:t>all</w:t>
      </w:r>
      <w:r w:rsidR="009576BB">
        <w:t xml:space="preserve"> the needed criteria mentioned above.</w:t>
      </w:r>
    </w:p>
    <w:p w:rsidR="00170443" w:rsidP="00C834FC" w:rsidRDefault="00FD16F8" w14:paraId="076A1B6C" w14:textId="5750C427">
      <w:pPr>
        <w:keepNext/>
        <w:jc w:val="center"/>
      </w:pPr>
      <w:r w:rsidR="00FD16F8">
        <w:drawing>
          <wp:inline wp14:editId="6EF64097" wp14:anchorId="5081E987">
            <wp:extent cx="5328040" cy="3028825"/>
            <wp:effectExtent l="0" t="0" r="6350" b="63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357434ef5f9449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8040" cy="3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44" w:rsidP="00170443" w:rsidRDefault="00170443" w14:paraId="3839936E" w14:textId="4BE5881B">
      <w:pPr>
        <w:pStyle w:val="Caption"/>
        <w:jc w:val="both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C43C7">
        <w:rPr>
          <w:noProof/>
        </w:rPr>
        <w:t>1</w:t>
      </w:r>
      <w:r>
        <w:fldChar w:fldCharType="end"/>
      </w:r>
      <w:r>
        <w:t xml:space="preserve"> - Diagram showing the plan view (left) and the side elevation (right) of the Derbot design.</w:t>
      </w:r>
    </w:p>
    <w:p w:rsidR="00C617F9" w:rsidP="000D3A89" w:rsidRDefault="00945B84" w14:paraId="1C57AB9B" w14:textId="4B3E6CA7">
      <w:pPr>
        <w:jc w:val="both"/>
      </w:pPr>
      <w:r>
        <w:t xml:space="preserve">The two optocouplers </w:t>
      </w:r>
      <w:r w:rsidR="0085718C">
        <w:t>(or LDR</w:t>
      </w:r>
      <w:r w:rsidR="00090EC1">
        <w:t>s)</w:t>
      </w:r>
      <w:r>
        <w:t xml:space="preserve"> will be used to keep the </w:t>
      </w:r>
      <w:r w:rsidR="00B11F7F">
        <w:t xml:space="preserve">Derbot on the track, allowing the code to </w:t>
      </w:r>
      <w:r w:rsidR="002C2D24">
        <w:t>adjust</w:t>
      </w:r>
      <w:r w:rsidR="00B11F7F">
        <w:t xml:space="preserve"> the</w:t>
      </w:r>
      <w:r w:rsidR="002C2D24">
        <w:t xml:space="preserve"> two rear</w:t>
      </w:r>
      <w:r w:rsidR="00B11F7F">
        <w:t xml:space="preserve"> </w:t>
      </w:r>
      <w:r w:rsidR="0007367A">
        <w:t>motors depending on their values</w:t>
      </w:r>
      <w:r w:rsidR="003A44B7">
        <w:t>.</w:t>
      </w:r>
      <w:r w:rsidR="002C2D24">
        <w:t xml:space="preserve"> </w:t>
      </w:r>
    </w:p>
    <w:p w:rsidR="00C617F9" w:rsidP="000D3A89" w:rsidRDefault="00D418E1" w14:paraId="5B8498B7" w14:textId="6D4CB863">
      <w:pPr>
        <w:jc w:val="both"/>
      </w:pPr>
      <w:r>
        <w:t xml:space="preserve">It will have </w:t>
      </w:r>
      <w:r w:rsidR="00E838E1">
        <w:t>an arrow shaped bumper to</w:t>
      </w:r>
      <w:r w:rsidR="00216688">
        <w:t xml:space="preserve"> push the objects </w:t>
      </w:r>
      <w:r w:rsidR="00EF12FF">
        <w:t>to the left or right as it moves forward</w:t>
      </w:r>
      <w:r w:rsidR="0085305B">
        <w:t>; an arm extending from the bumper will be connected to a servo</w:t>
      </w:r>
      <w:r w:rsidR="00C617F9">
        <w:t xml:space="preserve"> allowing it to be moved left and right.</w:t>
      </w:r>
    </w:p>
    <w:p w:rsidR="007C45D4" w:rsidP="000D3A89" w:rsidRDefault="00446825" w14:paraId="1AE27A37" w14:textId="5934DE35">
      <w:pPr>
        <w:jc w:val="both"/>
      </w:pPr>
      <w:r>
        <w:t xml:space="preserve"> </w:t>
      </w:r>
      <w:r w:rsidR="004E21FA">
        <w:t>The default</w:t>
      </w:r>
      <w:r w:rsidR="002419C0">
        <w:t xml:space="preserve"> position</w:t>
      </w:r>
      <w:r w:rsidR="004E21FA">
        <w:t xml:space="preserve"> of the bumper will be </w:t>
      </w:r>
      <w:r w:rsidR="008E653E">
        <w:t>in</w:t>
      </w:r>
      <w:r w:rsidR="004E21FA">
        <w:t xml:space="preserve"> the </w:t>
      </w:r>
      <w:r w:rsidR="00C567C7">
        <w:t>right position</w:t>
      </w:r>
      <w:r w:rsidR="00BD16DA">
        <w:t xml:space="preserve"> thus</w:t>
      </w:r>
      <w:r w:rsidR="007F38C5">
        <w:t xml:space="preserve"> pushing everything to the left unless</w:t>
      </w:r>
      <w:r w:rsidR="007C45D4">
        <w:t>,</w:t>
      </w:r>
      <w:r w:rsidR="00C567C7">
        <w:t xml:space="preserve"> </w:t>
      </w:r>
      <w:r w:rsidR="00AC29FB">
        <w:t xml:space="preserve">the </w:t>
      </w:r>
      <w:r w:rsidR="00CE4AB5">
        <w:t>Light</w:t>
      </w:r>
      <w:r w:rsidR="00AC29FB">
        <w:t xml:space="preserve"> Dependent Resistor (LDR) at the end of an extended arm detects high level of light </w:t>
      </w:r>
      <w:r w:rsidR="00CE4AB5">
        <w:t>from the object</w:t>
      </w:r>
      <w:r w:rsidR="003E546A">
        <w:t>,</w:t>
      </w:r>
      <w:r w:rsidR="007F38C5">
        <w:t xml:space="preserve"> where the servo will move the bumper to the </w:t>
      </w:r>
      <w:r w:rsidR="00BD16DA">
        <w:t xml:space="preserve">left </w:t>
      </w:r>
      <w:r w:rsidR="007C45D4">
        <w:t xml:space="preserve">position </w:t>
      </w:r>
      <w:r w:rsidR="003E546A">
        <w:t>pushing the lit object to the right</w:t>
      </w:r>
      <w:r w:rsidR="002419C0">
        <w:t xml:space="preserve"> as the Derbot carries on moving forward along the line</w:t>
      </w:r>
      <w:r w:rsidR="003E546A">
        <w:t>.</w:t>
      </w:r>
      <w:r w:rsidR="00CF4259">
        <w:t xml:space="preserve"> </w:t>
      </w:r>
    </w:p>
    <w:p w:rsidR="00F372C7" w:rsidP="000D3A89" w:rsidRDefault="00CF4259" w14:paraId="6AC14343" w14:textId="51FAE25D">
      <w:pPr>
        <w:jc w:val="both"/>
      </w:pPr>
      <w:r>
        <w:t xml:space="preserve">To detect the unlit objects being pushed to the left, the </w:t>
      </w:r>
      <w:r w:rsidR="00AC303E">
        <w:t>b</w:t>
      </w:r>
      <w:r w:rsidR="007519D8">
        <w:t xml:space="preserve">uilt in microswitch on the </w:t>
      </w:r>
      <w:r w:rsidR="004B14E3">
        <w:t xml:space="preserve">left of the Derbot will be </w:t>
      </w:r>
      <w:r w:rsidR="00091D9E">
        <w:t>connected to the bumper, the bumper will slightly flex when the object is push passed</w:t>
      </w:r>
      <w:r w:rsidR="00F15B56">
        <w:t xml:space="preserve">, clicking the microswitch and detecting the object. </w:t>
      </w:r>
      <w:r w:rsidR="00170443">
        <w:t>Both scenarios are shown below in figure 2</w:t>
      </w:r>
      <w:r w:rsidR="007446C8">
        <w:t>.</w:t>
      </w:r>
      <w:r w:rsidR="004C72F3">
        <w:t xml:space="preserve"> By setting the default position of the bumper to the left, the Derbot will not have to slow down</w:t>
      </w:r>
      <w:r w:rsidR="00254533">
        <w:t xml:space="preserve"> when approaching each object</w:t>
      </w:r>
      <w:r w:rsidR="00431137">
        <w:t>, but only change the servo position when it detects high light levels.</w:t>
      </w:r>
    </w:p>
    <w:p w:rsidRPr="005B0A64" w:rsidR="00A41B16" w:rsidP="000D3A89" w:rsidRDefault="00A41B16" w14:paraId="6037F3F5" w14:textId="019CCF8A">
      <w:pPr>
        <w:jc w:val="both"/>
      </w:pPr>
      <w:r>
        <w:lastRenderedPageBreak/>
        <w:t>The</w:t>
      </w:r>
      <w:r w:rsidR="00DF577F">
        <w:t xml:space="preserve">re will also be a </w:t>
      </w:r>
      <w:r w:rsidR="00860F7F">
        <w:t>seven-segment</w:t>
      </w:r>
      <w:r w:rsidR="00DF577F">
        <w:t xml:space="preserve"> display fitted to the Derbot to show the number of lit and unlit objects detected </w:t>
      </w:r>
      <w:r w:rsidR="00170443">
        <w:t>at the end of the course</w:t>
      </w:r>
      <w:r w:rsidR="00860F7F">
        <w:t>.</w:t>
      </w:r>
      <w:r w:rsidR="005B0A64">
        <w:t xml:space="preserve"> This will be via I</w:t>
      </w:r>
      <w:r w:rsidR="005B0A64">
        <w:rPr>
          <w:vertAlign w:val="superscript"/>
        </w:rPr>
        <w:t>2</w:t>
      </w:r>
      <w:r w:rsidR="005B0A64">
        <w:t>C</w:t>
      </w:r>
      <w:r w:rsidR="00C834FC">
        <w:t xml:space="preserve"> and a MCP23008 serial interface chip.</w:t>
      </w:r>
    </w:p>
    <w:p w:rsidR="00170443" w:rsidP="00A5504F" w:rsidRDefault="003935C7" w14:paraId="2CA21E89" w14:textId="7A21F8CC">
      <w:pPr>
        <w:keepNext/>
        <w:jc w:val="center"/>
      </w:pPr>
      <w:r w:rsidR="003935C7">
        <w:drawing>
          <wp:inline wp14:editId="0737B42B" wp14:anchorId="2BA641A2">
            <wp:extent cx="5086085" cy="2439361"/>
            <wp:effectExtent l="0" t="0" r="635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08c87659f36448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085" cy="243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1E9E" w:rsidR="00543289" w:rsidP="00170443" w:rsidRDefault="00170443" w14:paraId="7F02CD4C" w14:textId="7F39A87F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C43C7">
        <w:rPr>
          <w:noProof/>
        </w:rPr>
        <w:t>2</w:t>
      </w:r>
      <w:r>
        <w:fldChar w:fldCharType="end"/>
      </w:r>
      <w:r>
        <w:t xml:space="preserve"> - How the Derbot will react to a lit object (left) and how it will react to an unlit object (right).</w:t>
      </w:r>
    </w:p>
    <w:p w:rsidR="172F03C9" w:rsidP="1644E6BA" w:rsidRDefault="172F03C9" w14:paraId="0EB86B18" w14:textId="199AAA20">
      <w:pPr>
        <w:jc w:val="center"/>
      </w:pPr>
    </w:p>
    <w:p w:rsidR="00EE7D04" w:rsidP="00EC1D76" w:rsidRDefault="002419C0" w14:paraId="537880FB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8A3FF" wp14:editId="2C20D8D6">
                <wp:simplePos x="0" y="0"/>
                <wp:positionH relativeFrom="margin">
                  <wp:align>center</wp:align>
                </wp:positionH>
                <wp:positionV relativeFrom="paragraph">
                  <wp:posOffset>5303408</wp:posOffset>
                </wp:positionV>
                <wp:extent cx="3442335" cy="635"/>
                <wp:effectExtent l="0" t="0" r="5715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8F3259" w:rsidR="007F47DE" w:rsidP="007F47DE" w:rsidRDefault="007F47DE" w14:paraId="07441E27" w14:textId="145E091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C43C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Flow chart showing the logical </w:t>
                            </w:r>
                            <w:r w:rsidR="00D36A29">
                              <w:t>steps the code will make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1128A3FF">
                <v:stroke joinstyle="miter"/>
                <v:path gradientshapeok="t" o:connecttype="rect"/>
              </v:shapetype>
              <v:shape id="Text Box 5" style="position:absolute;margin-left:0;margin-top:417.6pt;width:271.05pt;height:.0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">
                <v:textbox style="mso-fit-shape-to-text:t" inset="0,0,0,0">
                  <w:txbxContent>
                    <w:p w:rsidRPr="008F3259" w:rsidR="007F47DE" w:rsidP="007F47DE" w:rsidRDefault="007F47DE" w14:paraId="07441E27" w14:textId="145E091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C43C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Flow chart showing the logical </w:t>
                      </w:r>
                      <w:r w:rsidR="00D36A29">
                        <w:t>steps the code will make</w:t>
                      </w:r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38EF086B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 xml:space="preserve">Programming </w:t>
      </w:r>
      <w:r w:rsidR="007832C7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>Strategy</w:t>
      </w:r>
    </w:p>
    <w:p w:rsidRPr="00F0401E" w:rsidR="00B473FA" w:rsidP="00EE7D04" w:rsidRDefault="00EE7D04" w14:paraId="3532CA03" w14:textId="23AA3323">
      <w:pPr>
        <w:jc w:val="center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="00EE7D04">
        <w:drawing>
          <wp:inline wp14:editId="03827E6A" wp14:anchorId="1CAC8BD2">
            <wp:extent cx="3661601" cy="4615462"/>
            <wp:effectExtent l="0" t="0" r="0" b="0"/>
            <wp:docPr id="1229303761" name="Picture 12293037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29303761"/>
                    <pic:cNvPicPr/>
                  </pic:nvPicPr>
                  <pic:blipFill>
                    <a:blip r:embed="R796cf3f7333a4b0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33" t="22656" r="17166" b="1223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1601" cy="46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03B6" w:rsidP="0FA8A986" w:rsidRDefault="488703B6" w14:paraId="25EF9FF5" w14:textId="510CF59D">
      <w:pPr>
        <w:pStyle w:val="Heading1"/>
      </w:pPr>
      <w:r>
        <w:lastRenderedPageBreak/>
        <w:t>Pic resources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FA8A986" w:rsidTr="77AE15F3" w14:paraId="234472C4" w14:textId="77777777">
        <w:tc>
          <w:tcPr>
            <w:tcW w:w="3009" w:type="dxa"/>
          </w:tcPr>
          <w:p w:rsidR="0FA8A986" w:rsidRDefault="0FA8A986" w14:paraId="16C3C6DA" w14:textId="42BEE27C">
            <w:r w:rsidRPr="0FA8A986">
              <w:rPr>
                <w:rFonts w:ascii="Calibri" w:hAnsi="Calibri" w:eastAsia="Calibri" w:cs="Calibri"/>
                <w:b/>
                <w:bCs/>
              </w:rPr>
              <w:t>Peripheral</w:t>
            </w:r>
          </w:p>
        </w:tc>
        <w:tc>
          <w:tcPr>
            <w:tcW w:w="3009" w:type="dxa"/>
          </w:tcPr>
          <w:p w:rsidR="0FA8A986" w:rsidRDefault="0FA8A986" w14:paraId="6BFDEA0E" w14:textId="37C52936">
            <w:r w:rsidRPr="0FA8A986">
              <w:rPr>
                <w:rFonts w:ascii="Calibri" w:hAnsi="Calibri" w:eastAsia="Calibri" w:cs="Calibri"/>
                <w:b/>
                <w:bCs/>
              </w:rPr>
              <w:t>Function</w:t>
            </w:r>
          </w:p>
        </w:tc>
        <w:tc>
          <w:tcPr>
            <w:tcW w:w="3009" w:type="dxa"/>
          </w:tcPr>
          <w:p w:rsidR="0FA8A986" w:rsidRDefault="0FA8A986" w14:paraId="2AD5AEE1" w14:textId="719A1AB1">
            <w:r w:rsidRPr="0FA8A986">
              <w:rPr>
                <w:rFonts w:ascii="Calibri" w:hAnsi="Calibri" w:eastAsia="Calibri" w:cs="Calibri"/>
                <w:b/>
                <w:bCs/>
              </w:rPr>
              <w:t>Use in Derbot</w:t>
            </w:r>
          </w:p>
        </w:tc>
      </w:tr>
      <w:tr w:rsidR="0FA8A986" w:rsidTr="77AE15F3" w14:paraId="0685D8E4" w14:textId="77777777">
        <w:tc>
          <w:tcPr>
            <w:tcW w:w="3009" w:type="dxa"/>
          </w:tcPr>
          <w:p w:rsidR="0FA8A986" w:rsidRDefault="0FA8A986" w14:paraId="74E16D5D" w14:textId="4406A198">
            <w:r w:rsidRPr="0FA8A986">
              <w:rPr>
                <w:rFonts w:ascii="Calibri" w:hAnsi="Calibri" w:eastAsia="Calibri" w:cs="Calibri"/>
              </w:rPr>
              <w:t>ACD – Analog to Digital Converter</w:t>
            </w:r>
          </w:p>
        </w:tc>
        <w:tc>
          <w:tcPr>
            <w:tcW w:w="3009" w:type="dxa"/>
          </w:tcPr>
          <w:p w:rsidR="0FA8A986" w:rsidRDefault="0FA8A986" w14:paraId="1C3F9A73" w14:textId="308A5119">
            <w:r w:rsidRPr="0FA8A986">
              <w:rPr>
                <w:rFonts w:ascii="Calibri" w:hAnsi="Calibri" w:eastAsia="Calibri" w:cs="Calibri"/>
              </w:rPr>
              <w:t>Convert analogue signals into digital values</w:t>
            </w:r>
          </w:p>
        </w:tc>
        <w:tc>
          <w:tcPr>
            <w:tcW w:w="3009" w:type="dxa"/>
          </w:tcPr>
          <w:p w:rsidR="0FA8A986" w:rsidRDefault="0FA8A986" w14:paraId="4603A2C4" w14:textId="4A3629FE">
            <w:r w:rsidRPr="77AE15F3">
              <w:rPr>
                <w:rFonts w:ascii="Calibri" w:hAnsi="Calibri" w:eastAsia="Calibri" w:cs="Calibri"/>
              </w:rPr>
              <w:t xml:space="preserve">Read analogue voltage from </w:t>
            </w:r>
            <w:r w:rsidRPr="77AE15F3" w:rsidR="4C1256A0">
              <w:rPr>
                <w:rFonts w:ascii="Calibri" w:hAnsi="Calibri" w:eastAsia="Calibri" w:cs="Calibri"/>
              </w:rPr>
              <w:t>pins 2, 3 and 5</w:t>
            </w:r>
            <w:r w:rsidRPr="77AE15F3">
              <w:rPr>
                <w:rFonts w:ascii="Calibri" w:hAnsi="Calibri" w:eastAsia="Calibri" w:cs="Calibri"/>
              </w:rPr>
              <w:t xml:space="preserve"> </w:t>
            </w:r>
            <w:r w:rsidRPr="77AE15F3" w:rsidR="76AAD5BA">
              <w:rPr>
                <w:rFonts w:ascii="Calibri" w:hAnsi="Calibri" w:eastAsia="Calibri" w:cs="Calibri"/>
              </w:rPr>
              <w:t>(</w:t>
            </w:r>
            <w:r w:rsidRPr="77AE15F3">
              <w:rPr>
                <w:rFonts w:ascii="Calibri" w:hAnsi="Calibri" w:eastAsia="Calibri" w:cs="Calibri"/>
              </w:rPr>
              <w:t>the LDRs</w:t>
            </w:r>
            <w:r w:rsidRPr="77AE15F3" w:rsidR="24DD3FAA">
              <w:rPr>
                <w:rFonts w:ascii="Calibri" w:hAnsi="Calibri" w:eastAsia="Calibri" w:cs="Calibri"/>
              </w:rPr>
              <w:t>)</w:t>
            </w:r>
          </w:p>
        </w:tc>
      </w:tr>
      <w:tr w:rsidR="0FA8A986" w:rsidTr="77AE15F3" w14:paraId="31B4EC29" w14:textId="77777777">
        <w:tc>
          <w:tcPr>
            <w:tcW w:w="3009" w:type="dxa"/>
          </w:tcPr>
          <w:p w:rsidR="0FA8A986" w:rsidRDefault="0FA8A986" w14:paraId="5FBDD7AB" w14:textId="7B57BF92">
            <w:r w:rsidRPr="0FA8A986">
              <w:rPr>
                <w:rFonts w:ascii="Calibri" w:hAnsi="Calibri" w:eastAsia="Calibri" w:cs="Calibri"/>
              </w:rPr>
              <w:t>FVR – Forward Voltage Reference</w:t>
            </w:r>
          </w:p>
        </w:tc>
        <w:tc>
          <w:tcPr>
            <w:tcW w:w="3009" w:type="dxa"/>
          </w:tcPr>
          <w:p w:rsidR="0FA8A986" w:rsidRDefault="0FA8A986" w14:paraId="47BA6A46" w14:textId="23452738">
            <w:r w:rsidRPr="0FA8A986">
              <w:rPr>
                <w:rFonts w:ascii="Calibri" w:hAnsi="Calibri" w:eastAsia="Calibri" w:cs="Calibri"/>
              </w:rPr>
              <w:t>Set the voltage reference for the ADC (1.024V, 2.048V or 4.096V)</w:t>
            </w:r>
          </w:p>
        </w:tc>
        <w:tc>
          <w:tcPr>
            <w:tcW w:w="3009" w:type="dxa"/>
          </w:tcPr>
          <w:p w:rsidR="0FA8A986" w:rsidRDefault="0FA8A986" w14:paraId="02C7A953" w14:textId="4C04349C">
            <w:r w:rsidRPr="6B9FB44E">
              <w:rPr>
                <w:rFonts w:ascii="Calibri" w:hAnsi="Calibri" w:eastAsia="Calibri" w:cs="Calibri"/>
              </w:rPr>
              <w:t>Setting the voltage reference of the ADC to 1.024V. the ADC has a 10bit resolution which will result in a resolution of 1mV</w:t>
            </w:r>
            <w:r w:rsidRPr="6B9FB44E" w:rsidR="2556688B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FA8A986" w:rsidTr="77AE15F3" w14:paraId="56C40EC4" w14:textId="77777777">
        <w:tc>
          <w:tcPr>
            <w:tcW w:w="3009" w:type="dxa"/>
          </w:tcPr>
          <w:p w:rsidR="0FA8A986" w:rsidRDefault="0FA8A986" w14:paraId="30792563" w14:textId="7E050B65">
            <w:r w:rsidRPr="0FA8A986">
              <w:rPr>
                <w:rFonts w:ascii="Calibri" w:hAnsi="Calibri" w:eastAsia="Calibri" w:cs="Calibri"/>
              </w:rPr>
              <w:t>ECCP1 – Enhanced capture compare module 1</w:t>
            </w:r>
          </w:p>
        </w:tc>
        <w:tc>
          <w:tcPr>
            <w:tcW w:w="3009" w:type="dxa"/>
          </w:tcPr>
          <w:p w:rsidR="0FA8A986" w:rsidRDefault="0FA8A986" w14:paraId="14C1319E" w14:textId="3D88DB43">
            <w:r w:rsidRPr="0FA8A986">
              <w:rPr>
                <w:rFonts w:ascii="Calibri" w:hAnsi="Calibri" w:eastAsia="Calibri" w:cs="Calibri"/>
              </w:rPr>
              <w:t>Enhanced PWM mode 1</w:t>
            </w:r>
          </w:p>
        </w:tc>
        <w:tc>
          <w:tcPr>
            <w:tcW w:w="3009" w:type="dxa"/>
          </w:tcPr>
          <w:p w:rsidR="0FA8A986" w:rsidRDefault="6AEB4F1F" w14:paraId="46E327CC" w14:textId="6C777FC0">
            <w:r w:rsidRPr="6B9FB44E">
              <w:rPr>
                <w:rFonts w:ascii="Calibri" w:hAnsi="Calibri" w:eastAsia="Calibri" w:cs="Calibri"/>
              </w:rPr>
              <w:t>This will generate the PWM signal for the left motor of the DERBOT</w:t>
            </w:r>
          </w:p>
        </w:tc>
      </w:tr>
      <w:tr w:rsidR="0FA8A986" w:rsidTr="77AE15F3" w14:paraId="4A3E345B" w14:textId="77777777">
        <w:tc>
          <w:tcPr>
            <w:tcW w:w="3009" w:type="dxa"/>
          </w:tcPr>
          <w:p w:rsidR="0FA8A986" w:rsidRDefault="0FA8A986" w14:paraId="4C6DE0D9" w14:textId="77948AEE">
            <w:r w:rsidRPr="0FA8A986">
              <w:rPr>
                <w:rFonts w:ascii="Calibri" w:hAnsi="Calibri" w:eastAsia="Calibri" w:cs="Calibri"/>
              </w:rPr>
              <w:t>ECCP2 – Enhanced capture compare module 2</w:t>
            </w:r>
          </w:p>
        </w:tc>
        <w:tc>
          <w:tcPr>
            <w:tcW w:w="3009" w:type="dxa"/>
          </w:tcPr>
          <w:p w:rsidR="0FA8A986" w:rsidRDefault="0FA8A986" w14:paraId="5762D037" w14:textId="7CD7F46F">
            <w:r w:rsidRPr="0FA8A986">
              <w:rPr>
                <w:rFonts w:ascii="Calibri" w:hAnsi="Calibri" w:eastAsia="Calibri" w:cs="Calibri"/>
              </w:rPr>
              <w:t>Enhanced PWM mode 2</w:t>
            </w:r>
          </w:p>
        </w:tc>
        <w:tc>
          <w:tcPr>
            <w:tcW w:w="3009" w:type="dxa"/>
          </w:tcPr>
          <w:p w:rsidR="0FA8A986" w:rsidRDefault="0FA8A986" w14:paraId="444D9158" w14:textId="3154B23F">
            <w:r w:rsidRPr="0FA8A986">
              <w:rPr>
                <w:rFonts w:ascii="Calibri" w:hAnsi="Calibri" w:eastAsia="Calibri" w:cs="Calibri"/>
              </w:rPr>
              <w:t>This will generate the PWM signal for the right motor of the DERBOT</w:t>
            </w:r>
          </w:p>
        </w:tc>
      </w:tr>
      <w:tr w:rsidR="0FA8A986" w:rsidTr="77AE15F3" w14:paraId="3E208B46" w14:textId="77777777">
        <w:tc>
          <w:tcPr>
            <w:tcW w:w="3009" w:type="dxa"/>
          </w:tcPr>
          <w:p w:rsidR="0FA8A986" w:rsidRDefault="0FA8A986" w14:paraId="097BF2E9" w14:textId="1B4FA778">
            <w:r w:rsidRPr="0FA8A986">
              <w:rPr>
                <w:rFonts w:ascii="Calibri" w:hAnsi="Calibri" w:eastAsia="Calibri" w:cs="Calibri"/>
              </w:rPr>
              <w:t>TMR2 – internal Timer 2 of the PIC</w:t>
            </w:r>
          </w:p>
        </w:tc>
        <w:tc>
          <w:tcPr>
            <w:tcW w:w="3009" w:type="dxa"/>
          </w:tcPr>
          <w:p w:rsidR="0FA8A986" w:rsidRDefault="0FA8A986" w14:paraId="263B12FC" w14:textId="18639B30">
            <w:r w:rsidRPr="0FA8A986">
              <w:rPr>
                <w:rFonts w:ascii="Calibri" w:hAnsi="Calibri" w:eastAsia="Calibri" w:cs="Calibri"/>
              </w:rPr>
              <w:t>This timer will be used for both PWM pulses for the left and right motor</w:t>
            </w:r>
          </w:p>
        </w:tc>
        <w:tc>
          <w:tcPr>
            <w:tcW w:w="3009" w:type="dxa"/>
          </w:tcPr>
          <w:p w:rsidR="0FA8A986" w:rsidRDefault="0FA8A986" w14:paraId="1BC0EE15" w14:textId="0F6AC9ED">
            <w:r w:rsidRPr="0FA8A986">
              <w:rPr>
                <w:rFonts w:ascii="Calibri" w:hAnsi="Calibri" w:eastAsia="Calibri" w:cs="Calibri"/>
              </w:rPr>
              <w:t>The PWM values are sent into the IN pins of the L293D</w:t>
            </w:r>
          </w:p>
        </w:tc>
      </w:tr>
      <w:tr w:rsidR="0FA8A986" w:rsidTr="77AE15F3" w14:paraId="647E0920" w14:textId="77777777">
        <w:tc>
          <w:tcPr>
            <w:tcW w:w="3009" w:type="dxa"/>
          </w:tcPr>
          <w:p w:rsidR="0FA8A986" w:rsidRDefault="0FA8A986" w14:paraId="2AEF33EF" w14:textId="6A2C7D01">
            <w:r w:rsidRPr="0FA8A986">
              <w:rPr>
                <w:rFonts w:ascii="Calibri" w:hAnsi="Calibri" w:eastAsia="Calibri" w:cs="Calibri"/>
              </w:rPr>
              <w:t>TMR4 – internal Timer 4 of the PIC</w:t>
            </w:r>
          </w:p>
        </w:tc>
        <w:tc>
          <w:tcPr>
            <w:tcW w:w="3009" w:type="dxa"/>
          </w:tcPr>
          <w:p w:rsidR="0FA8A986" w:rsidRDefault="0FA8A986" w14:paraId="757F1C45" w14:textId="21153AD6">
            <w:r w:rsidRPr="0FA8A986">
              <w:rPr>
                <w:rFonts w:ascii="Calibri" w:hAnsi="Calibri" w:eastAsia="Calibri" w:cs="Calibri"/>
              </w:rPr>
              <w:t>This timer will be used to generate a PWM signal in-code (instead of using a CCP module)</w:t>
            </w:r>
          </w:p>
        </w:tc>
        <w:tc>
          <w:tcPr>
            <w:tcW w:w="3009" w:type="dxa"/>
          </w:tcPr>
          <w:p w:rsidR="0FA8A986" w:rsidRDefault="0FA8A986" w14:paraId="58807210" w14:textId="557BAB91">
            <w:r w:rsidRPr="0FA8A986">
              <w:rPr>
                <w:rFonts w:ascii="Calibri" w:hAnsi="Calibri" w:eastAsia="Calibri" w:cs="Calibri"/>
              </w:rPr>
              <w:t>The in-code-generated PWM signal will be used as the data for the SERVO</w:t>
            </w:r>
          </w:p>
        </w:tc>
      </w:tr>
      <w:tr w:rsidR="0FA8A986" w:rsidTr="77AE15F3" w14:paraId="407F0934" w14:textId="77777777">
        <w:tc>
          <w:tcPr>
            <w:tcW w:w="3009" w:type="dxa"/>
          </w:tcPr>
          <w:p w:rsidR="0FA8A986" w:rsidRDefault="0FA8A986" w14:paraId="75B97170" w14:textId="427671E3">
            <w:r w:rsidRPr="0FA8A986">
              <w:rPr>
                <w:rFonts w:ascii="Calibri" w:hAnsi="Calibri" w:eastAsia="Calibri" w:cs="Calibri"/>
              </w:rPr>
              <w:t>TMR6 – internal Timer 6 of the PIC</w:t>
            </w:r>
          </w:p>
        </w:tc>
        <w:tc>
          <w:tcPr>
            <w:tcW w:w="3009" w:type="dxa"/>
          </w:tcPr>
          <w:p w:rsidR="0FA8A986" w:rsidRDefault="0FA8A986" w14:paraId="700DAC08" w14:textId="439073BF">
            <w:r w:rsidRPr="0FA8A986">
              <w:rPr>
                <w:rFonts w:ascii="Calibri" w:hAnsi="Calibri" w:eastAsia="Calibri" w:cs="Calibri"/>
              </w:rPr>
              <w:t>This timer will be used at the end of the program to determine the stopping time</w:t>
            </w:r>
          </w:p>
        </w:tc>
        <w:tc>
          <w:tcPr>
            <w:tcW w:w="3009" w:type="dxa"/>
          </w:tcPr>
          <w:p w:rsidR="0FA8A986" w:rsidRDefault="0FA8A986" w14:paraId="427D360F" w14:textId="238D0681">
            <w:r w:rsidRPr="0FA8A986">
              <w:rPr>
                <w:rFonts w:ascii="Calibri" w:hAnsi="Calibri" w:eastAsia="Calibri" w:cs="Calibri"/>
              </w:rPr>
              <w:t>When the ending white line is detected, the DERBOT will stop when TMR6 overflows (1s)</w:t>
            </w:r>
          </w:p>
        </w:tc>
      </w:tr>
      <w:tr w:rsidR="0FA8A986" w:rsidTr="77AE15F3" w14:paraId="1BF3F880" w14:textId="77777777">
        <w:tc>
          <w:tcPr>
            <w:tcW w:w="3009" w:type="dxa"/>
          </w:tcPr>
          <w:p w:rsidR="0FA8A986" w:rsidRDefault="0FA8A986" w14:paraId="414C25A2" w14:textId="6F8C1215">
            <w:r w:rsidRPr="0FA8A986">
              <w:rPr>
                <w:rFonts w:ascii="Calibri" w:hAnsi="Calibri" w:eastAsia="Calibri" w:cs="Calibri"/>
              </w:rPr>
              <w:t>MSSP1</w:t>
            </w:r>
          </w:p>
        </w:tc>
        <w:tc>
          <w:tcPr>
            <w:tcW w:w="3009" w:type="dxa"/>
          </w:tcPr>
          <w:p w:rsidR="0FA8A986" w:rsidRDefault="0FA8A986" w14:paraId="07522569" w14:textId="60D85CD1">
            <w:r w:rsidRPr="0FA8A986">
              <w:rPr>
                <w:rFonts w:ascii="Calibri" w:hAnsi="Calibri" w:eastAsia="Calibri" w:cs="Calibri"/>
              </w:rPr>
              <w:t>I</w:t>
            </w:r>
            <w:r w:rsidRPr="0FA8A986">
              <w:rPr>
                <w:rFonts w:ascii="Calibri" w:hAnsi="Calibri" w:eastAsia="Calibri" w:cs="Calibri"/>
                <w:vertAlign w:val="superscript"/>
              </w:rPr>
              <w:t>2</w:t>
            </w:r>
            <w:r w:rsidRPr="0FA8A986">
              <w:rPr>
                <w:rFonts w:ascii="Calibri" w:hAnsi="Calibri" w:eastAsia="Calibri" w:cs="Calibri"/>
              </w:rPr>
              <w:t>C – PIC will be the MASTER</w:t>
            </w:r>
          </w:p>
        </w:tc>
        <w:tc>
          <w:tcPr>
            <w:tcW w:w="3009" w:type="dxa"/>
          </w:tcPr>
          <w:p w:rsidR="0FA8A986" w:rsidRDefault="0FA8A986" w14:paraId="5963FCC0" w14:textId="431EEFF6">
            <w:r w:rsidRPr="0FA8A986">
              <w:rPr>
                <w:rFonts w:ascii="Calibri" w:hAnsi="Calibri" w:eastAsia="Calibri" w:cs="Calibri"/>
              </w:rPr>
              <w:t>The PIC will be the Master</w:t>
            </w:r>
          </w:p>
        </w:tc>
      </w:tr>
      <w:tr w:rsidR="0FA8A986" w:rsidTr="77AE15F3" w14:paraId="712BCD55" w14:textId="77777777">
        <w:tc>
          <w:tcPr>
            <w:tcW w:w="3009" w:type="dxa"/>
          </w:tcPr>
          <w:p w:rsidR="0FA8A986" w:rsidRDefault="0FA8A986" w14:paraId="25D7E70C" w14:textId="3932A471">
            <w:r w:rsidRPr="0FA8A986">
              <w:rPr>
                <w:rFonts w:ascii="Calibri" w:hAnsi="Calibri" w:eastAsia="Calibri" w:cs="Calibri"/>
              </w:rPr>
              <w:t>MSSP2</w:t>
            </w:r>
          </w:p>
        </w:tc>
        <w:tc>
          <w:tcPr>
            <w:tcW w:w="3009" w:type="dxa"/>
          </w:tcPr>
          <w:p w:rsidR="0FA8A986" w:rsidRDefault="0FA8A986" w14:paraId="7BE338E4" w14:textId="33AB974E">
            <w:r w:rsidRPr="0FA8A986">
              <w:rPr>
                <w:rFonts w:ascii="Calibri" w:hAnsi="Calibri" w:eastAsia="Calibri" w:cs="Calibri"/>
              </w:rPr>
              <w:t>I</w:t>
            </w:r>
            <w:r w:rsidRPr="0FA8A986">
              <w:rPr>
                <w:rFonts w:ascii="Calibri" w:hAnsi="Calibri" w:eastAsia="Calibri" w:cs="Calibri"/>
                <w:vertAlign w:val="superscript"/>
              </w:rPr>
              <w:t>2</w:t>
            </w:r>
            <w:r w:rsidRPr="0FA8A986">
              <w:rPr>
                <w:rFonts w:ascii="Calibri" w:hAnsi="Calibri" w:eastAsia="Calibri" w:cs="Calibri"/>
              </w:rPr>
              <w:t>C – external I/O will be the SLAVE</w:t>
            </w:r>
          </w:p>
        </w:tc>
        <w:tc>
          <w:tcPr>
            <w:tcW w:w="3009" w:type="dxa"/>
          </w:tcPr>
          <w:p w:rsidR="0FA8A986" w:rsidRDefault="0FA8A986" w14:paraId="7F5D6680" w14:textId="5A3F3956">
            <w:r w:rsidRPr="0FA8A986">
              <w:rPr>
                <w:rFonts w:ascii="Calibri" w:hAnsi="Calibri" w:eastAsia="Calibri" w:cs="Calibri"/>
              </w:rPr>
              <w:t>The I/O expansion will be the SLAVE</w:t>
            </w:r>
          </w:p>
        </w:tc>
      </w:tr>
    </w:tbl>
    <w:p w:rsidRPr="000C43C7" w:rsidR="000C43C7" w:rsidP="000C43C7" w:rsidRDefault="00C834FC" w14:paraId="620FC5A7" w14:textId="45A505C4">
      <w:pPr>
        <w:pStyle w:val="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Table showing the peripherals</w:t>
      </w:r>
      <w:r w:rsidR="00627431">
        <w:t xml:space="preserve"> to be used from the PIC</w:t>
      </w:r>
      <w:r w:rsidR="000C43C7">
        <w:t xml:space="preserve"> microcontroller</w:t>
      </w:r>
      <w:r>
        <w:t xml:space="preserve">, their </w:t>
      </w:r>
      <w:r w:rsidR="00925C04">
        <w:t>functions,</w:t>
      </w:r>
      <w:r>
        <w:t xml:space="preserve"> and their </w:t>
      </w:r>
      <w:r w:rsidR="000C43C7">
        <w:t>purpose</w:t>
      </w:r>
      <w:r>
        <w:t xml:space="preserve"> </w:t>
      </w:r>
      <w:r w:rsidR="00627431">
        <w:t>on the Derbot.</w:t>
      </w:r>
    </w:p>
    <w:p w:rsidR="000C43C7" w:rsidP="000C43C7" w:rsidRDefault="369AE1D7" w14:paraId="39499631" w14:textId="77777777">
      <w:pPr>
        <w:keepNext/>
        <w:jc w:val="center"/>
      </w:pPr>
      <w:r w:rsidR="369AE1D7">
        <w:drawing>
          <wp:inline wp14:editId="7059CED3" wp14:anchorId="77C4C66A">
            <wp:extent cx="5303520" cy="3194467"/>
            <wp:effectExtent l="0" t="0" r="0" b="6350"/>
            <wp:docPr id="511296868" name="Picture 5112968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11296868"/>
                    <pic:cNvPicPr/>
                  </pic:nvPicPr>
                  <pic:blipFill>
                    <a:blip r:embed="Rde8c24107e7142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3520" cy="31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AE1D7" w:rsidP="00EE7D04" w:rsidRDefault="00EE7D04" w14:paraId="528A8BD8" w14:textId="20516996">
      <w:pPr>
        <w:pStyle w:val="Caption"/>
      </w:pPr>
      <w:r>
        <w:t xml:space="preserve">        </w:t>
      </w:r>
      <w:r w:rsidR="000C43C7">
        <w:t xml:space="preserve">Figure </w:t>
      </w:r>
      <w:r w:rsidR="000C43C7">
        <w:fldChar w:fldCharType="begin"/>
      </w:r>
      <w:r w:rsidR="000C43C7">
        <w:instrText>SEQ Figure \* ARABIC</w:instrText>
      </w:r>
      <w:r w:rsidR="000C43C7">
        <w:fldChar w:fldCharType="separate"/>
      </w:r>
      <w:r w:rsidR="000C43C7">
        <w:rPr>
          <w:noProof/>
        </w:rPr>
        <w:t>4</w:t>
      </w:r>
      <w:r w:rsidR="000C43C7">
        <w:fldChar w:fldCharType="end"/>
      </w:r>
      <w:r w:rsidR="000C43C7">
        <w:t xml:space="preserve"> - Screenshot from MPLABX showing the pin names and custom names which will be used.</w:t>
      </w:r>
    </w:p>
    <w:p w:rsidR="000C43C7" w:rsidP="000C43C7" w:rsidRDefault="003E2F33" w14:paraId="379ED2CA" w14:textId="77777777">
      <w:pPr>
        <w:keepNext/>
        <w:jc w:val="center"/>
      </w:pPr>
      <w:r w:rsidR="003E2F33">
        <w:drawing>
          <wp:inline wp14:editId="4726D2D5" wp14:anchorId="28FD64F7">
            <wp:extent cx="5238748" cy="3371850"/>
            <wp:effectExtent l="0" t="0" r="0" b="0"/>
            <wp:docPr id="1110892400" name="Picture 111089240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10892400"/>
                    <pic:cNvPicPr/>
                  </pic:nvPicPr>
                  <pic:blipFill>
                    <a:blip r:embed="Ra6e258823cec45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748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33" w:rsidP="000C43C7" w:rsidRDefault="000C43C7" w14:paraId="05B804F2" w14:textId="7A04B04B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Screenshot from MPLABX showing a graphical representation of the same data from figure 4.</w:t>
      </w:r>
    </w:p>
    <w:p w:rsidR="00F0401E" w:rsidP="00F0401E" w:rsidRDefault="00F0401E" w14:paraId="5FD0DF29" w14:textId="77777777">
      <w:pPr>
        <w:pStyle w:val="Heading1"/>
      </w:pPr>
      <w:r>
        <w:t>Allocation of work and time</w:t>
      </w:r>
    </w:p>
    <w:p w:rsidR="00F0401E" w:rsidP="00F0401E" w:rsidRDefault="00F0401E" w14:paraId="6B0E11FE" w14:textId="77777777">
      <w:pPr>
        <w:pStyle w:val="Heading2"/>
      </w:pPr>
      <w:r>
        <w:t>Allocation of work</w:t>
      </w:r>
    </w:p>
    <w:p w:rsidR="00F0401E" w:rsidP="00F0401E" w:rsidRDefault="00F0401E" w14:paraId="15D51EE8" w14:textId="77777777">
      <w:r>
        <w:t>Charlie</w:t>
      </w:r>
    </w:p>
    <w:p w:rsidR="00F0401E" w:rsidP="00F0401E" w:rsidRDefault="00F0401E" w14:paraId="2C0F77D5" w14:textId="77777777">
      <w:pPr>
        <w:pStyle w:val="ListParagraph"/>
        <w:numPr>
          <w:ilvl w:val="0"/>
          <w:numId w:val="3"/>
        </w:numPr>
      </w:pPr>
      <w:r>
        <w:t>Object detection and moving</w:t>
      </w:r>
    </w:p>
    <w:p w:rsidR="00F0401E" w:rsidP="00F0401E" w:rsidRDefault="00F0401E" w14:paraId="68750024" w14:textId="77777777">
      <w:r>
        <w:t>Oliver</w:t>
      </w:r>
    </w:p>
    <w:p w:rsidR="00F0401E" w:rsidP="00F0401E" w:rsidRDefault="00F0401E" w14:paraId="6B935625" w14:textId="77777777">
      <w:pPr>
        <w:pStyle w:val="ListParagraph"/>
        <w:numPr>
          <w:ilvl w:val="0"/>
          <w:numId w:val="3"/>
        </w:numPr>
      </w:pPr>
      <w:r>
        <w:t>I</w:t>
      </w:r>
      <w:r>
        <w:rPr>
          <w:vertAlign w:val="superscript"/>
        </w:rPr>
        <w:t>2</w:t>
      </w:r>
      <w:r>
        <w:t>C communication and seven segment display</w:t>
      </w:r>
    </w:p>
    <w:p w:rsidR="00F0401E" w:rsidP="00F0401E" w:rsidRDefault="00F0401E" w14:paraId="0E5CA6F5" w14:textId="77777777">
      <w:r>
        <w:t>Mateo</w:t>
      </w:r>
    </w:p>
    <w:p w:rsidR="00F0401E" w:rsidP="00F0401E" w:rsidRDefault="00F0401E" w14:paraId="137DAC7F" w14:textId="69516427">
      <w:pPr>
        <w:pStyle w:val="ListParagraph"/>
        <w:numPr>
          <w:ilvl w:val="0"/>
          <w:numId w:val="2"/>
        </w:numPr>
      </w:pPr>
      <w:r>
        <w:t>White line following/starting and stopping</w:t>
      </w:r>
    </w:p>
    <w:p w:rsidR="000C43C7" w:rsidP="000C43C7" w:rsidRDefault="00F0401E" w14:paraId="18BE79F5" w14:textId="77777777">
      <w:pPr>
        <w:pStyle w:val="Heading2"/>
      </w:pPr>
      <w:r w:rsidR="00F0401E">
        <w:rPr/>
        <w:t>Gannt chart</w:t>
      </w:r>
      <w:r w:rsidR="00F0401E">
        <w:drawing>
          <wp:inline wp14:editId="75DD1F8F" wp14:anchorId="48996FF3">
            <wp:extent cx="5731510" cy="1646555"/>
            <wp:effectExtent l="0" t="0" r="254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27514d8c0674e5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29A2" w:rsidR="00F0401E" w:rsidP="000C43C7" w:rsidRDefault="000C43C7" w14:paraId="574F2D0C" w14:textId="32287C1F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The Gannt chart for the design and build of the Derbot system.</w:t>
      </w:r>
    </w:p>
    <w:p w:rsidR="00B473FA" w:rsidP="00EC1D76" w:rsidRDefault="00B473FA" w14:paraId="1D9E78F2" w14:textId="1243FF9E"/>
    <w:sectPr w:rsidR="00B473FA">
      <w:headerReference w:type="default" r:id="rId17"/>
      <w:footerReference w:type="default" r:id="rId1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2C72" w:rsidP="00EE3D28" w:rsidRDefault="00322C72" w14:paraId="0F0B811B" w14:textId="77777777">
      <w:pPr>
        <w:spacing w:after="0" w:line="240" w:lineRule="auto"/>
      </w:pPr>
      <w:r>
        <w:separator/>
      </w:r>
    </w:p>
  </w:endnote>
  <w:endnote w:type="continuationSeparator" w:id="0">
    <w:p w:rsidR="00322C72" w:rsidP="00EE3D28" w:rsidRDefault="00322C72" w14:paraId="7898DC07" w14:textId="77777777">
      <w:pPr>
        <w:spacing w:after="0" w:line="240" w:lineRule="auto"/>
      </w:pPr>
      <w:r>
        <w:continuationSeparator/>
      </w:r>
    </w:p>
  </w:endnote>
  <w:endnote w:type="continuationNotice" w:id="1">
    <w:p w:rsidR="00322C72" w:rsidRDefault="00322C72" w14:paraId="3082CB7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4389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5A1" w:rsidRDefault="000525A1" w14:paraId="7BFAE77F" w14:textId="260990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3BCC705B" w:rsidP="3BCC705B" w:rsidRDefault="3BCC705B" w14:paraId="1067C8A4" w14:textId="191FE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2C72" w:rsidP="00EE3D28" w:rsidRDefault="00322C72" w14:paraId="3AFA0D38" w14:textId="77777777">
      <w:pPr>
        <w:spacing w:after="0" w:line="240" w:lineRule="auto"/>
      </w:pPr>
      <w:r>
        <w:separator/>
      </w:r>
    </w:p>
  </w:footnote>
  <w:footnote w:type="continuationSeparator" w:id="0">
    <w:p w:rsidR="00322C72" w:rsidP="00EE3D28" w:rsidRDefault="00322C72" w14:paraId="355FBE16" w14:textId="77777777">
      <w:pPr>
        <w:spacing w:after="0" w:line="240" w:lineRule="auto"/>
      </w:pPr>
      <w:r>
        <w:continuationSeparator/>
      </w:r>
    </w:p>
  </w:footnote>
  <w:footnote w:type="continuationNotice" w:id="1">
    <w:p w:rsidR="00322C72" w:rsidRDefault="00322C72" w14:paraId="2AAD6D9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BCC705B" w:rsidTr="3BCC705B" w14:paraId="53CAC7A1" w14:textId="77777777">
      <w:tc>
        <w:tcPr>
          <w:tcW w:w="3009" w:type="dxa"/>
        </w:tcPr>
        <w:p w:rsidR="3BCC705B" w:rsidP="3BCC705B" w:rsidRDefault="00A66A9C" w14:paraId="38549409" w14:textId="06923DA3">
          <w:pPr>
            <w:pStyle w:val="Header"/>
            <w:ind w:left="-115"/>
          </w:pPr>
          <w:r>
            <w:t>Team</w:t>
          </w:r>
          <w:r w:rsidR="00EE7D04">
            <w:t xml:space="preserve"> 1</w:t>
          </w:r>
          <w:r>
            <w:t xml:space="preserve"> Plan</w:t>
          </w:r>
        </w:p>
      </w:tc>
      <w:tc>
        <w:tcPr>
          <w:tcW w:w="3009" w:type="dxa"/>
        </w:tcPr>
        <w:p w:rsidR="3BCC705B" w:rsidP="3BCC705B" w:rsidRDefault="3BCC705B" w14:paraId="5832F8C0" w14:textId="615AE5AE">
          <w:pPr>
            <w:pStyle w:val="Header"/>
            <w:jc w:val="center"/>
          </w:pPr>
        </w:p>
      </w:tc>
      <w:tc>
        <w:tcPr>
          <w:tcW w:w="3009" w:type="dxa"/>
        </w:tcPr>
        <w:p w:rsidR="3BCC705B" w:rsidP="3BCC705B" w:rsidRDefault="3BCC705B" w14:paraId="007ECCBF" w14:textId="410DC9FE">
          <w:pPr>
            <w:pStyle w:val="Header"/>
            <w:ind w:right="-115"/>
            <w:jc w:val="right"/>
          </w:pPr>
        </w:p>
      </w:tc>
    </w:tr>
  </w:tbl>
  <w:p w:rsidR="3BCC705B" w:rsidP="3BCC705B" w:rsidRDefault="3BCC705B" w14:paraId="484C0ED5" w14:textId="42277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3ECE"/>
    <w:multiLevelType w:val="hybridMultilevel"/>
    <w:tmpl w:val="4FA607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1B7162"/>
    <w:multiLevelType w:val="hybridMultilevel"/>
    <w:tmpl w:val="FD9C13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B230A6"/>
    <w:multiLevelType w:val="hybridMultilevel"/>
    <w:tmpl w:val="280E1E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60"/>
  <w:proofState w:spelling="clean" w:grammar="dirty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C9"/>
    <w:rsid w:val="00017AF2"/>
    <w:rsid w:val="000525A1"/>
    <w:rsid w:val="0007367A"/>
    <w:rsid w:val="00073BAC"/>
    <w:rsid w:val="00090EC1"/>
    <w:rsid w:val="00091D9E"/>
    <w:rsid w:val="000B545B"/>
    <w:rsid w:val="000C40B5"/>
    <w:rsid w:val="000C43C7"/>
    <w:rsid w:val="000D3A89"/>
    <w:rsid w:val="000D7A5A"/>
    <w:rsid w:val="000F5385"/>
    <w:rsid w:val="00170443"/>
    <w:rsid w:val="001961AA"/>
    <w:rsid w:val="001C5E24"/>
    <w:rsid w:val="001D2B70"/>
    <w:rsid w:val="001D3C11"/>
    <w:rsid w:val="001F63C7"/>
    <w:rsid w:val="00216688"/>
    <w:rsid w:val="002419C0"/>
    <w:rsid w:val="002526AE"/>
    <w:rsid w:val="00254533"/>
    <w:rsid w:val="0025580F"/>
    <w:rsid w:val="00283D27"/>
    <w:rsid w:val="00285C84"/>
    <w:rsid w:val="002A758E"/>
    <w:rsid w:val="002B11D3"/>
    <w:rsid w:val="002C2D24"/>
    <w:rsid w:val="00322C72"/>
    <w:rsid w:val="00376252"/>
    <w:rsid w:val="003935C7"/>
    <w:rsid w:val="003A44B7"/>
    <w:rsid w:val="003A66FA"/>
    <w:rsid w:val="003C20DD"/>
    <w:rsid w:val="003E2F33"/>
    <w:rsid w:val="003E546A"/>
    <w:rsid w:val="0041031C"/>
    <w:rsid w:val="00431137"/>
    <w:rsid w:val="00446825"/>
    <w:rsid w:val="00477D97"/>
    <w:rsid w:val="004A5C7C"/>
    <w:rsid w:val="004B14E3"/>
    <w:rsid w:val="004C6A71"/>
    <w:rsid w:val="004C72F3"/>
    <w:rsid w:val="004D3B2D"/>
    <w:rsid w:val="004E21FA"/>
    <w:rsid w:val="004F3B41"/>
    <w:rsid w:val="004F4940"/>
    <w:rsid w:val="00543289"/>
    <w:rsid w:val="005B0A64"/>
    <w:rsid w:val="005B2649"/>
    <w:rsid w:val="00602345"/>
    <w:rsid w:val="00627431"/>
    <w:rsid w:val="00667D7C"/>
    <w:rsid w:val="0067061C"/>
    <w:rsid w:val="006F34D8"/>
    <w:rsid w:val="00725DF0"/>
    <w:rsid w:val="00725E65"/>
    <w:rsid w:val="00730623"/>
    <w:rsid w:val="00736B88"/>
    <w:rsid w:val="007446C8"/>
    <w:rsid w:val="007519D8"/>
    <w:rsid w:val="007832C7"/>
    <w:rsid w:val="007A622A"/>
    <w:rsid w:val="007C45D4"/>
    <w:rsid w:val="007E6BE0"/>
    <w:rsid w:val="007F38C5"/>
    <w:rsid w:val="007F47DE"/>
    <w:rsid w:val="007F6DE0"/>
    <w:rsid w:val="00815E4E"/>
    <w:rsid w:val="0082089F"/>
    <w:rsid w:val="00830394"/>
    <w:rsid w:val="008332D4"/>
    <w:rsid w:val="00852334"/>
    <w:rsid w:val="0085305B"/>
    <w:rsid w:val="008567E6"/>
    <w:rsid w:val="0085718C"/>
    <w:rsid w:val="00860F7F"/>
    <w:rsid w:val="0087624F"/>
    <w:rsid w:val="00882178"/>
    <w:rsid w:val="008B34EE"/>
    <w:rsid w:val="008B3609"/>
    <w:rsid w:val="008C7239"/>
    <w:rsid w:val="008E3FE8"/>
    <w:rsid w:val="008E653E"/>
    <w:rsid w:val="00925C04"/>
    <w:rsid w:val="009426C4"/>
    <w:rsid w:val="00945B84"/>
    <w:rsid w:val="009576BB"/>
    <w:rsid w:val="0097513F"/>
    <w:rsid w:val="00996380"/>
    <w:rsid w:val="009A2454"/>
    <w:rsid w:val="009A34E4"/>
    <w:rsid w:val="009A4037"/>
    <w:rsid w:val="009A68A6"/>
    <w:rsid w:val="009D198E"/>
    <w:rsid w:val="00A36869"/>
    <w:rsid w:val="00A41B16"/>
    <w:rsid w:val="00A43728"/>
    <w:rsid w:val="00A5504F"/>
    <w:rsid w:val="00A61594"/>
    <w:rsid w:val="00A66A9C"/>
    <w:rsid w:val="00AC23D2"/>
    <w:rsid w:val="00AC2845"/>
    <w:rsid w:val="00AC29FB"/>
    <w:rsid w:val="00AC303E"/>
    <w:rsid w:val="00AD1E9E"/>
    <w:rsid w:val="00B11F7F"/>
    <w:rsid w:val="00B473FA"/>
    <w:rsid w:val="00B52F4B"/>
    <w:rsid w:val="00B84575"/>
    <w:rsid w:val="00B84D5A"/>
    <w:rsid w:val="00BB7CC9"/>
    <w:rsid w:val="00BC465E"/>
    <w:rsid w:val="00BD16DA"/>
    <w:rsid w:val="00BF29A2"/>
    <w:rsid w:val="00BF38B6"/>
    <w:rsid w:val="00BF5F6C"/>
    <w:rsid w:val="00C47396"/>
    <w:rsid w:val="00C567C7"/>
    <w:rsid w:val="00C617F9"/>
    <w:rsid w:val="00C74B9B"/>
    <w:rsid w:val="00C834FC"/>
    <w:rsid w:val="00C95C27"/>
    <w:rsid w:val="00CA3BF9"/>
    <w:rsid w:val="00CE4AB5"/>
    <w:rsid w:val="00CF4259"/>
    <w:rsid w:val="00CF42F3"/>
    <w:rsid w:val="00D03018"/>
    <w:rsid w:val="00D04C74"/>
    <w:rsid w:val="00D36A29"/>
    <w:rsid w:val="00D418E1"/>
    <w:rsid w:val="00D559A4"/>
    <w:rsid w:val="00D7584B"/>
    <w:rsid w:val="00DD1F49"/>
    <w:rsid w:val="00DF2643"/>
    <w:rsid w:val="00DF577F"/>
    <w:rsid w:val="00E2173C"/>
    <w:rsid w:val="00E454B1"/>
    <w:rsid w:val="00E634A7"/>
    <w:rsid w:val="00E75E35"/>
    <w:rsid w:val="00E838E1"/>
    <w:rsid w:val="00E93C3C"/>
    <w:rsid w:val="00EA3AAD"/>
    <w:rsid w:val="00EC1D76"/>
    <w:rsid w:val="00EE3D28"/>
    <w:rsid w:val="00EE40A6"/>
    <w:rsid w:val="00EE7D04"/>
    <w:rsid w:val="00EF12FF"/>
    <w:rsid w:val="00EF3F7D"/>
    <w:rsid w:val="00EF5925"/>
    <w:rsid w:val="00F0401E"/>
    <w:rsid w:val="00F15B56"/>
    <w:rsid w:val="00F2488D"/>
    <w:rsid w:val="00F35677"/>
    <w:rsid w:val="00F372C7"/>
    <w:rsid w:val="00F5725B"/>
    <w:rsid w:val="00F91244"/>
    <w:rsid w:val="00FD16F8"/>
    <w:rsid w:val="00FD18B5"/>
    <w:rsid w:val="00FE1E05"/>
    <w:rsid w:val="00FE6141"/>
    <w:rsid w:val="02EB810F"/>
    <w:rsid w:val="07974BA6"/>
    <w:rsid w:val="0A6304DE"/>
    <w:rsid w:val="0DD7F328"/>
    <w:rsid w:val="0FA8A986"/>
    <w:rsid w:val="1601CA27"/>
    <w:rsid w:val="1644E6BA"/>
    <w:rsid w:val="172F03C9"/>
    <w:rsid w:val="1734159B"/>
    <w:rsid w:val="19147C92"/>
    <w:rsid w:val="1E283C6B"/>
    <w:rsid w:val="20851A61"/>
    <w:rsid w:val="20EDE122"/>
    <w:rsid w:val="24AB0065"/>
    <w:rsid w:val="24DD3FAA"/>
    <w:rsid w:val="2556688B"/>
    <w:rsid w:val="25A0A2FD"/>
    <w:rsid w:val="2A613D45"/>
    <w:rsid w:val="2D4CEE16"/>
    <w:rsid w:val="2D9EFE94"/>
    <w:rsid w:val="2EB97EF2"/>
    <w:rsid w:val="2F752D11"/>
    <w:rsid w:val="34B53BE7"/>
    <w:rsid w:val="369AE1D7"/>
    <w:rsid w:val="38EF086B"/>
    <w:rsid w:val="3B19B5DD"/>
    <w:rsid w:val="3BCC705B"/>
    <w:rsid w:val="4099CBCC"/>
    <w:rsid w:val="44BB5D31"/>
    <w:rsid w:val="472B1CAC"/>
    <w:rsid w:val="488703B6"/>
    <w:rsid w:val="48EBC95A"/>
    <w:rsid w:val="4C1256A0"/>
    <w:rsid w:val="4C5B2EA0"/>
    <w:rsid w:val="4ED2D5D5"/>
    <w:rsid w:val="4EF0D949"/>
    <w:rsid w:val="4F229C5E"/>
    <w:rsid w:val="4FCEF6E7"/>
    <w:rsid w:val="51D6F0FF"/>
    <w:rsid w:val="520A5FD1"/>
    <w:rsid w:val="5766AD13"/>
    <w:rsid w:val="5964DE2A"/>
    <w:rsid w:val="5C414346"/>
    <w:rsid w:val="5FCF4E7B"/>
    <w:rsid w:val="5FD63359"/>
    <w:rsid w:val="601244F9"/>
    <w:rsid w:val="604837BB"/>
    <w:rsid w:val="61B958CA"/>
    <w:rsid w:val="65A42DE6"/>
    <w:rsid w:val="65C8CF96"/>
    <w:rsid w:val="6AEB4F1F"/>
    <w:rsid w:val="6B9FB44E"/>
    <w:rsid w:val="71EA45BE"/>
    <w:rsid w:val="762B5F1E"/>
    <w:rsid w:val="76AAD5BA"/>
    <w:rsid w:val="77AE15F3"/>
    <w:rsid w:val="7AB9BB01"/>
    <w:rsid w:val="7C3CE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1223"/>
  <w15:chartTrackingRefBased/>
  <w15:docId w15:val="{9C9E3D76-14D8-4678-8396-3E296AA5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39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D7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3039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D2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3D28"/>
  </w:style>
  <w:style w:type="paragraph" w:styleId="Footer">
    <w:name w:val="footer"/>
    <w:basedOn w:val="Normal"/>
    <w:link w:val="FooterChar"/>
    <w:uiPriority w:val="99"/>
    <w:unhideWhenUsed/>
    <w:rsid w:val="00EE3D2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3D28"/>
  </w:style>
  <w:style w:type="paragraph" w:styleId="Caption">
    <w:name w:val="caption"/>
    <w:basedOn w:val="Normal"/>
    <w:next w:val="Normal"/>
    <w:uiPriority w:val="35"/>
    <w:unhideWhenUsed/>
    <w:qFormat/>
    <w:rsid w:val="001704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EC1D7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/word/glossary/document.xml" Id="Rdb9d2726f47445b4" /><Relationship Type="http://schemas.openxmlformats.org/officeDocument/2006/relationships/image" Target="/media/image7.png" Id="R3357434ef5f9449a" /><Relationship Type="http://schemas.openxmlformats.org/officeDocument/2006/relationships/image" Target="/media/image8.png" Id="R508c87659f364483" /><Relationship Type="http://schemas.openxmlformats.org/officeDocument/2006/relationships/image" Target="/media/image9.png" Id="R796cf3f7333a4b0c" /><Relationship Type="http://schemas.openxmlformats.org/officeDocument/2006/relationships/image" Target="/media/imagea.png" Id="Rde8c24107e714246" /><Relationship Type="http://schemas.openxmlformats.org/officeDocument/2006/relationships/image" Target="/media/imageb.png" Id="Ra6e258823cec45b5" /><Relationship Type="http://schemas.openxmlformats.org/officeDocument/2006/relationships/image" Target="/media/imagec.png" Id="R827514d8c0674e5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2b130-421c-49f7-adec-b55192232634}"/>
      </w:docPartPr>
      <w:docPartBody>
        <w:p w14:paraId="3FDCD4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5502F1299654586A596E8AA7EC121" ma:contentTypeVersion="5" ma:contentTypeDescription="Create a new document." ma:contentTypeScope="" ma:versionID="8a20d62efd8e79e02a5831a58e51026b">
  <xsd:schema xmlns:xsd="http://www.w3.org/2001/XMLSchema" xmlns:xs="http://www.w3.org/2001/XMLSchema" xmlns:p="http://schemas.microsoft.com/office/2006/metadata/properties" xmlns:ns3="6b5e5b3a-917c-4a41-ae40-a39a7f9946ae" xmlns:ns4="0dceff30-181c-4c16-9eea-6c8c5c67ba90" targetNamespace="http://schemas.microsoft.com/office/2006/metadata/properties" ma:root="true" ma:fieldsID="153250bb3e1c51c4413179465a37bbfc" ns3:_="" ns4:_="">
    <xsd:import namespace="6b5e5b3a-917c-4a41-ae40-a39a7f9946ae"/>
    <xsd:import namespace="0dceff30-181c-4c16-9eea-6c8c5c67ba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e5b3a-917c-4a41-ae40-a39a7f994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eff30-181c-4c16-9eea-6c8c5c67b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A072EE-FE06-4007-80FB-EBA5AC4B3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5e5b3a-917c-4a41-ae40-a39a7f9946ae"/>
    <ds:schemaRef ds:uri="0dceff30-181c-4c16-9eea-6c8c5c67b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CA44D8-5F72-49C0-BDB7-23B386B1D3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48B602-48D1-4EEF-8FBD-ACAB9A9510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5C8501-F196-4EC3-ACDF-95C4DE32499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Charlie Herbert</dc:creator>
  <keywords/>
  <dc:description/>
  <lastModifiedBy>Oliver Towers</lastModifiedBy>
  <revision>118</revision>
  <dcterms:created xsi:type="dcterms:W3CDTF">2020-10-17T19:03:00.0000000Z</dcterms:created>
  <dcterms:modified xsi:type="dcterms:W3CDTF">2020-12-17T14:05:05.4467441Z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0x0101000B65502F1299654586A596E8AA7EC121</vt:lpwstr>
  </property>
</Properties>
</file>